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МАРШРУТУ 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  <w:t xml:space="preserve">Москва-Ургенч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.3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Иностранные авиационные власти по состоянию на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1,73%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97,95%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(увеличение частоты с 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до 14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(DME)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0,03%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98,9%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(SVO)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ИрАэро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84,08%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37,44%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95,9%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(DME)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Уральские авиалинии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0,87%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92,75%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(DME)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Смартавиа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97.02%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(SVO)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Азур 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95,73%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(DME)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38.99%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53.3%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96.8%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(VKO)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Азимут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93.49%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(VKO)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14"/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W w:w="13467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0"/>
              </w:rPr>
              <w:t xml:space="preserve">Москва-Ургенч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 пункты: 49-56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W w:w="241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rPr>
          <w:trHeight w:val="440"/>
        </w:trPr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ИрАэро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Уральские авиалинии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Смартавиа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Азур 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76" w:lineRule="auto"/>
              <w:suppressLineNumbers w:val="0"/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Азимут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</w:tcBorders>
            <w:tcW w:w="134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3</w:t>
      </w:r>
      <w:r>
        <w:rPr>
          <w:rStyle w:val="833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BC2-0782-40C5-A6B6-7C175CA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14</cp:revision>
  <dcterms:created xsi:type="dcterms:W3CDTF">2023-03-09T09:18:00Z</dcterms:created>
  <dcterms:modified xsi:type="dcterms:W3CDTF">2023-10-24T08:57:01Z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