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 w:line="288" w:lineRule="atLeast"/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Лист самопроверки док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уме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нтов, </w:t>
        <w:br/>
        <w:t xml:space="preserve">предоставляе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аттестующей организацией</w:t>
      </w:r>
      <w:r>
        <w:rPr>
          <w:rStyle w:val="1018"/>
          <w:rFonts w:ascii="Times New Roman" w:hAnsi="Times New Roman" w:cs="Times New Roman"/>
          <w:b/>
          <w:bCs/>
          <w:sz w:val="28"/>
          <w:szCs w:val="28"/>
        </w:rPr>
        <w:footnoteReference w:id="2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продления аккредитации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</w:p>
    <w:p>
      <w:pPr>
        <w:jc w:val="both"/>
        <w:spacing w:before="40" w:beforeAutospacing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89"/>
        <w:tblW w:w="0" w:type="auto"/>
        <w:tblLayout w:type="fixed"/>
        <w:tblLook w:val="04A0" w:firstRow="1" w:lastRow="0" w:firstColumn="1" w:lastColumn="0" w:noHBand="0" w:noVBand="1"/>
      </w:tblPr>
      <w:tblGrid>
        <w:gridCol w:w="5811"/>
        <w:gridCol w:w="8895"/>
      </w:tblGrid>
      <w:tr>
        <w:tblPrEx/>
        <w:trPr>
          <w:trHeight w:val="665"/>
        </w:trPr>
        <w:tc>
          <w:tcPr>
            <w:tcW w:w="58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Представляемые документы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88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Рекомендуется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65"/>
        </w:trPr>
        <w:tc>
          <w:tcPr>
            <w:tcW w:w="5811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54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895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vertAlign w:val="baseli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приложению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к Правилам</w:t>
            </w:r>
            <w:r>
              <w:rPr>
                <w:rStyle w:val="1018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baselin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baseli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baseline"/>
              </w:rPr>
            </w:r>
          </w:p>
        </w:tc>
      </w:tr>
      <w:tr>
        <w:tblPrEx/>
        <w:trPr>
          <w:trHeight w:val="1873"/>
        </w:trPr>
        <w:tc>
          <w:tcPr>
            <w:tcW w:w="5811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Копии организационно-распорядительных документов, регламентирующих обеспечение ограничения доступа к персональным данным аттестуемых лиц и результатам проверок в целях аттестации аттестуемых лиц</w:t>
            </w:r>
            <w:r>
              <w:rPr>
                <w:rStyle w:val="1018"/>
                <w:rFonts w:ascii="Times New Roman" w:hAnsi="Times New Roman" w:eastAsia="Times New Roman" w:cs="Times New Roman"/>
                <w:color w:val="000000"/>
                <w:sz w:val="24"/>
              </w:rPr>
              <w:footnoteReference w:id="4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Представить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локальные акты</w:t>
            </w:r>
            <w:r>
              <w:rPr>
                <w:rStyle w:val="1018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footnoteReference w:id="5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определяющие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политику в отношении обработки персональных данных;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определяющие для каждой цели обработки персональных данных 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ных законных оснований,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устанавливающие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425"/>
              <w:jc w:val="both"/>
              <w:spacing w:line="240" w:lineRule="auto"/>
              <w:rPr>
                <w:rFonts w:ascii="Times New Roman" w:hAnsi="Times New Roman"/>
                <w:bCs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4"/>
                <w:highlight w:val="none"/>
              </w:rPr>
              <w:t xml:space="preserve">приказ о </w:t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t xml:space="preserve">назначении ответственного за организацию обработки персональных данных </w:t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t xml:space="preserve">физ. лиц</w:t>
            </w:r>
            <w:r>
              <w:rPr>
                <w:rStyle w:val="1018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footnoteReference w:id="6"/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t xml:space="preserve">;</w:t>
            </w:r>
            <w:r>
              <w:rPr>
                <w:rFonts w:ascii="Times New Roman" w:hAnsi="Times New Roman"/>
                <w:bCs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Cs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t xml:space="preserve">соглашение о конфиденциальности с работниками, имеющими доступ</w:t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t xml:space="preserve"> к персональным данным; </w:t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t xml:space="preserve">приказ об утверждении перечня </w:t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t xml:space="preserve">лиц, доступ которых к персональным данным, обрабатываемым в информационной системе, необходим для выполнения ими служебных (трудовых) обязанностей</w:t>
            </w:r>
            <w:r>
              <w:rPr>
                <w:rStyle w:val="1018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footnoteReference w:id="7"/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t xml:space="preserve">;</w:t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определяющих </w:t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t xml:space="preserve">организацию режима обеспечения безопасности помещений, в которых размещена информационная система, препятствующую возможности неконтролируемого проникновения или пребывания в этих помещениях лиц, не имеющих права доступа в эти помещения;</w:t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определяющих </w:t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</w:rPr>
              <w:t xml:space="preserve">обеспечение сохранности носителей персональных данных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</w:t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811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Копия выписки из реестра акционеров аттестующей организации (для акционерного общества).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firstLine="425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/>
                <w:i w:val="0"/>
                <w:iCs/>
                <w:sz w:val="24"/>
                <w:szCs w:val="24"/>
              </w:rPr>
              <w:t xml:space="preserve">Предоставляется согласно Правилам акционерными обществами.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11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Сведения о кадровом составе аттестующей организации</w:t>
              <w:br/>
            </w:r>
            <w:r/>
          </w:p>
          <w:p>
            <w:pPr>
              <w:ind w:firstLine="142"/>
              <w:jc w:val="both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firstLine="425"/>
              <w:jc w:val="both"/>
              <w:spacing w:line="240" w:lineRule="auto"/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</w:rPr>
              <w:t xml:space="preserve">Представить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информацию 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аттестующей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</w:rPr>
            </w:r>
          </w:p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фамилия, имя, отчество (при наличии);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серия и номер документа, удостоверяющего личность;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страховой номер индивидуального лицевого счета;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</w:r>
          </w:p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число, месяц, год и место рождения;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</w:r>
          </w:p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регистрации по месту жительства, адрес временного пребывания (регистрации по месту пребывания) (в случае переездов - адреса в других субъектах Российской Федерации, а также период проживания);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</w:r>
          </w:p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сведения о месте работы за последние 3 года.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5811" w:type="dxa"/>
            <w:vMerge w:val="restart"/>
            <w:textDirection w:val="lrTb"/>
            <w:noWrap w:val="false"/>
          </w:tcPr>
          <w:p>
            <w:pPr>
              <w:ind w:left="0" w:right="0" w:firstLine="567"/>
              <w:jc w:val="both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наличии в штате работников, </w:t>
              <w:br/>
              <w:t xml:space="preserve">не имеющих ограничений, установленных </w:t>
              <w:br/>
              <w:t xml:space="preserve">пунктами 1 - 6 и 9 части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10 Федерального закона «О транспортной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54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firstLine="425"/>
              <w:jc w:val="both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Представить: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vertAlign w:val="baseli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vertAlign w:val="baseline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8"/>
                <w:vertAlign w:val="baseline"/>
              </w:rPr>
              <w:t xml:space="preserve">опии справок (заключений) об отсутствии психических заболеваний, алкоголизма, наркомании, токсикомании или о прекращении диспансерного наблюдения в связи с выздоровлением или стойкой ремиссией, выданных медицинскими организациями по месту жительства работн</w:t>
            </w:r>
            <w:r>
              <w:rPr>
                <w:rFonts w:ascii="Times New Roman" w:hAnsi="Times New Roman" w:cs="Times New Roman"/>
                <w:sz w:val="24"/>
                <w:szCs w:val="28"/>
                <w:vertAlign w:val="baseline"/>
              </w:rPr>
              <w:t xml:space="preserve">ика не ранее 60 дней до дня их представления;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baseli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baseline"/>
                <w14:ligatures w14:val="none"/>
              </w:rPr>
            </w:r>
          </w:p>
          <w:p>
            <w:pPr>
              <w:ind w:firstLine="425"/>
              <w:jc w:val="both"/>
              <w:spacing w:line="240" w:lineRule="auto"/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о наличии (отсутствии) судимости и (или) факта уголовного преследования либо о прекращении уголовного преследован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ия (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не более 1 года со дня выдачи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);</w:t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none"/>
              </w:rPr>
            </w:r>
          </w:p>
          <w:p>
            <w:pPr>
              <w:ind w:firstLine="425"/>
              <w:jc w:val="both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заключения о возможности (невозможности) 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уска лиц к выполнению работ, непосредственно связанных с обеспечением транспортной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направленные в 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аттестующей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не более 1 года со дня выдачи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).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Cs/>
                <w:i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highlight w:val="none"/>
              </w:rPr>
              <w:t xml:space="preserve">Примечание: </w:t>
            </w:r>
            <w:r>
              <w:rPr>
                <w:rFonts w:ascii="Times New Roman" w:hAnsi="Times New Roman" w:eastAsia="Times New Roman" w:cs="Times New Roman"/>
                <w:bCs/>
                <w:i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Cs/>
                <w:i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highlight w:val="none"/>
              </w:rPr>
              <w:t xml:space="preserve">в целях направления Росавиацией запросов в государственные орган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highlight w:val="none"/>
              </w:rPr>
              <w:t xml:space="preserve">ы </w:t>
              <w:br/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highlight w:val="none"/>
              </w:rPr>
              <w:t xml:space="preserve">для получения сведений, предусмотренных Правилами, в короткие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highlight w:val="none"/>
              </w:rPr>
              <w:t xml:space="preserve">сроки рекомендуется предоставлять информацию о наличии согласия </w:t>
              <w:br/>
              <w:t xml:space="preserve">у работников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highlight w:val="none"/>
              </w:rPr>
              <w:t xml:space="preserve">на обработку персональных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highlight w:val="none"/>
              </w:rPr>
              <w:t xml:space="preserve">данных,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</w:rPr>
              <w:t xml:space="preserve">предусмотренную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u w:val="none"/>
              </w:rPr>
              <w:t xml:space="preserve">статьей 9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</w:rPr>
              <w:t xml:space="preserve"> Федерального закона «О персональных данных»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bCs/>
                <w:i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color w:val="000000"/>
                <w:sz w:val="24"/>
                <w:szCs w:val="24"/>
              </w:rPr>
            </w:r>
          </w:p>
          <w:p>
            <w:pPr>
              <w:ind w:left="0" w:right="0" w:firstLine="425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справки о том, является или не является лицо подвергнутым административному наказанию за потребление наркотических средств или психотропных веществ </w:t>
              <w:br/>
              <w:t xml:space="preserve">без назначения врача либо новых потенциально опасных психоактивных веществ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не более 1 года со дня выдачи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ind w:left="0" w:right="0" w:firstLine="54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</w:p>
          <w:p>
            <w:pPr>
              <w:ind w:left="0" w:right="0" w:firstLine="54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информацию, подтверждающую факт наличия или отсутствия контроля иностранного инвестора или группы лиц, в которую входит иностранный инвестор, над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аттестующей организацией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54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случае наличия контроля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над аттестующей организацией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иностранного инвестора или группы лиц, в которую входит иностранный инвестор, аттестующей организацией представляется информация, подтверждающая ф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акт наличия контроля иностранного инвестора или группы лиц, в которую входит иностранный инвестор, над аттестующей организацией, содержащая: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54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а) перечень лиц, входящих в одну группу лиц с аттестующей организацией, </w:t>
              <w:br/>
              <w:t xml:space="preserve">с указанием оснований, по которым такие лица входят в эту группу, по форме представления перечня лиц, входящих в одну группу лиц, утвержденной Федеральной 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тимонопольной службой в соответствии со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none"/>
              </w:rPr>
              <w:t xml:space="preserve">статьей 31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Федерального закона «О защите конкуренции» (указанный перечень представляется в виде файла формата Excel), и схематическое изображение группы лиц, в которую входит аттестующая организация (указанное схематическое изображение пред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ставляется в виде файла формата JPEG или PDF);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540"/>
              <w:jc w:val="both"/>
              <w:spacing w:before="168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б) следующие перечни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виде файлов формата PDF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):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ind w:left="0" w:right="0" w:firstLine="540"/>
              <w:jc w:val="both"/>
              <w:spacing w:before="168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перечень лиц, которым принадлежит право прямо или косвенно распоряжаться более чем 5 процентами долей (акций) в уставном капитале аттестующей организации (по состоянию на день представления заявления);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ind w:left="0" w:right="0" w:firstLine="540"/>
              <w:jc w:val="both"/>
              <w:spacing w:before="168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перечень лиц, прямо или косвенно осуществляющих контроль над аттестующей организацией, с указанием контролирующих лиц, бенефициарных владельцев и выгодоприобретателей. В случае если бенефициарным владельцем (выгодоприобретателем)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лица, под контролем которого находится аттестующая организация, является гражданин Российской Федерации, представляется информация о наличии (отсутствии) у указанного гражданина Российской Федерации иного гражданства, кроме гражд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анства Российской Федерации, вида на жительство или иного действительного документа, подтверждающего право на постоянное проживание в иностранном государстве, в форме собственноручно подписанного обращения указанного гражданина Российской Федерации (с указ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анием фамилии, имени и отчества (при наличии), даты рождения, места жительства, реквизитов документа, удостоверяющего личность (серия, номер, кем и когда выдан), идентификационного номера налогоплательщика), либо обращения, подписанного его уполномоченным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представителем, с приложением заверенной копии доверенности на право представлять такое обращение (указанные обращения представляются в виде файлов формата PDF);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ind w:left="0" w:right="0" w:firstLine="540"/>
              <w:jc w:val="both"/>
              <w:spacing w:before="168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в) сведения о выгодоприобретателях, бенефициарных владельцах и контролирующих лицах иностранных юридических лиц, иностранных организаций, не являющихся юридическими лицами, осуществляющих контроль над аттестующей организацией, 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соответствии с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none"/>
              </w:rPr>
              <w:t xml:space="preserve">Правилами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представления иностранными юридическими лицами, иностранными организациями, не являющимися юридическими лицами, и находящимися под их контролем организациями в федеральный орган исполнительной власти, уполномоченный на выполнение функций по контролю за ос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уществлением иностранных инвестиций в Российской Федерации, информации о своих выгодоприобретателях, бенефициарных владельцах и контролирующих лицах, утвержденными постановлением Правительства Российской Федерации от 1 декабря 2018 г. № 1456 «Об утверждени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 Правил представления иностранными юридическими лицами, иностранными организациями, не являющимися юридическими лицами, и находящимися под их контролем организациями в федеральный орган исполнительной власти, уполномоченный на выполнение функций по контро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лю за осуществлением иностранных инвестиций в Российской Федерации, информации о своих выгодоприобретателях, бенефициарных владельцах и контролирующих лицах»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(указанные сведения представляется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виде файлов формата PDF)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ind w:left="0" w:right="0" w:firstLine="540"/>
              <w:jc w:val="both"/>
              <w:spacing w:before="168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г) сведения об органах управления и контроля аттестующей организации в случае, если физические лица, входящие в состав таких органов, являются также участниками (акционерами) иных юридических лиц, входящих в одну группу лиц 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аттестующей организацией с указанием информации о наличии (отсутствии) у каждого физического лица, входящего в состав таких органов, иного гражданства, кроме гражданства Российской Федерации, вида на жительство или иного действитель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ного документа, подтверждающего право на постоянное проживание в иностранном государстве (указанная информация представляется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в виде файлов формата PDF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).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</w:tc>
      </w:tr>
    </w:tbl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заявление, документы и сведения в целях продления аккредитации, представляемые </w:t>
        <w:br/>
        <w:t xml:space="preserve">на бумажном носителе, </w:t>
      </w:r>
      <w:r>
        <w:rPr>
          <w:rFonts w:ascii="Times New Roman" w:hAnsi="Times New Roman" w:cs="Times New Roman"/>
          <w:b/>
          <w:sz w:val="28"/>
          <w:szCs w:val="28"/>
        </w:rPr>
        <w:t xml:space="preserve">должны быть заверены</w:t>
      </w:r>
      <w:r>
        <w:rPr>
          <w:rFonts w:ascii="Times New Roman" w:hAnsi="Times New Roman" w:cs="Times New Roman"/>
          <w:sz w:val="28"/>
          <w:szCs w:val="28"/>
        </w:rPr>
        <w:t xml:space="preserve"> подписью руководителя аттестующей организации либо уполномоченного им лица и печатью аттестующей организации (при наличии).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firstLine="708"/>
        <w:jc w:val="both"/>
        <w:spacing w:after="0" w:line="288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В случае если заявление, документы и сведения в целях продления аккредитации подписаны уполномоченным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аттестующей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лицом</w:t>
      </w:r>
      <w:r>
        <w:rPr>
          <w:rFonts w:ascii="Times New Roman" w:hAnsi="Times New Roman" w:cs="Times New Roman"/>
          <w:sz w:val="28"/>
          <w:szCs w:val="28"/>
        </w:rPr>
        <w:t xml:space="preserve">, к представленным заявлению, документам и сведениям в целях продления аккредитации прилагаются копии </w:t>
      </w:r>
      <w:r>
        <w:rPr>
          <w:rFonts w:ascii="Times New Roman" w:hAnsi="Times New Roman" w:cs="Times New Roman"/>
          <w:b/>
          <w:sz w:val="28"/>
          <w:szCs w:val="28"/>
        </w:rPr>
        <w:t xml:space="preserve">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подтверждающих по</w:t>
      </w:r>
      <w:r>
        <w:rPr>
          <w:rFonts w:ascii="Times New Roman" w:hAnsi="Times New Roman" w:cs="Times New Roman"/>
          <w:b/>
          <w:sz w:val="28"/>
          <w:szCs w:val="28"/>
        </w:rPr>
        <w:t xml:space="preserve">лномочия</w:t>
      </w:r>
      <w:r>
        <w:rPr>
          <w:rFonts w:ascii="Times New Roman" w:hAnsi="Times New Roman" w:cs="Times New Roman"/>
          <w:sz w:val="28"/>
          <w:szCs w:val="28"/>
        </w:rPr>
        <w:t xml:space="preserve"> указанного лица.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88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Заявление, документы и сведения в целях продления аккредитации представляются аттестующей организацией </w:t>
        <w:br/>
        <w:t xml:space="preserve">не позднее чем за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25 рабочих дней до истечения срока действия аккредитации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contextualSpacing w:val="0"/>
        <w:ind w:firstLine="708"/>
        <w:jc w:val="both"/>
        <w:spacing w:after="0" w:line="288" w:lineRule="auto"/>
        <w:shd w:val="clear" w:color="ffffff" w:themeColor="background1" w:fill="ffffff" w:themeFill="background1"/>
        <w:widowControl w:val="off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федеральных органов исполнительной власти сведений по межведомственному взаимодействию, компетентный орган направляет аттестующей организации запрос о представлении та</w:t>
      </w:r>
      <w:r>
        <w:rPr>
          <w:rFonts w:ascii="Times New Roman" w:hAnsi="Times New Roman" w:cs="Times New Roman"/>
          <w:sz w:val="28"/>
          <w:szCs w:val="28"/>
        </w:rPr>
        <w:t xml:space="preserve">ких сведений.</w:t>
        <w:br/>
      </w:r>
      <w:r>
        <w:rPr>
          <w:rFonts w:ascii="Times New Roman" w:hAnsi="Times New Roman" w:cs="Times New Roman"/>
          <w:sz w:val="28"/>
          <w:szCs w:val="28"/>
        </w:rPr>
        <w:t xml:space="preserve">При направлении указанного запроса рассм</w:t>
      </w:r>
      <w:r>
        <w:rPr>
          <w:rFonts w:ascii="Times New Roman" w:hAnsi="Times New Roman" w:cs="Times New Roman"/>
          <w:sz w:val="28"/>
          <w:szCs w:val="28"/>
        </w:rPr>
        <w:t xml:space="preserve">отрение заявления, документов и сведений </w:t>
      </w:r>
      <w:r>
        <w:rPr>
          <w:rFonts w:ascii="Times New Roman" w:hAnsi="Times New Roman" w:cs="Times New Roman"/>
          <w:sz w:val="28"/>
          <w:szCs w:val="28"/>
        </w:rPr>
        <w:t xml:space="preserve">в целях продления аккредитации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приостанавливается на срок</w:t>
      </w:r>
      <w:r>
        <w:rPr>
          <w:rFonts w:ascii="Times New Roman" w:hAnsi="Times New Roman" w:cs="Times New Roman"/>
          <w:sz w:val="28"/>
          <w:szCs w:val="28"/>
        </w:rPr>
        <w:t xml:space="preserve">, не превышающий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направления такого запроса. Рассмотрение заявления, документов и сведений </w:t>
      </w:r>
      <w:r>
        <w:rPr>
          <w:rFonts w:ascii="Times New Roman" w:hAnsi="Times New Roman" w:cs="Times New Roman"/>
          <w:sz w:val="28"/>
          <w:szCs w:val="28"/>
        </w:rPr>
        <w:t xml:space="preserve">в целях продления аккредитации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возобновляется</w:t>
      </w:r>
      <w:r>
        <w:rPr>
          <w:rFonts w:ascii="Times New Roman" w:hAnsi="Times New Roman" w:cs="Times New Roman"/>
          <w:sz w:val="28"/>
          <w:szCs w:val="28"/>
        </w:rPr>
        <w:t xml:space="preserve"> со дня представления запрашиваемых сведений. В случае если в течение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направления указанного запроса запрашиваемые сведения не представлены, рассм</w:t>
      </w:r>
      <w:r>
        <w:rPr>
          <w:rFonts w:ascii="Times New Roman" w:hAnsi="Times New Roman" w:cs="Times New Roman"/>
          <w:sz w:val="28"/>
          <w:szCs w:val="28"/>
        </w:rPr>
        <w:t xml:space="preserve">отрение заявления, документов и сведений </w:t>
      </w:r>
      <w:r>
        <w:rPr>
          <w:rFonts w:ascii="Times New Roman" w:hAnsi="Times New Roman" w:cs="Times New Roman"/>
          <w:sz w:val="28"/>
          <w:szCs w:val="28"/>
        </w:rPr>
        <w:t xml:space="preserve">в целях продления аккредитации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возобновляется</w:t>
      </w:r>
      <w:r>
        <w:rPr>
          <w:rFonts w:ascii="Times New Roman" w:hAnsi="Times New Roman" w:cs="Times New Roman"/>
          <w:sz w:val="28"/>
          <w:szCs w:val="28"/>
        </w:rPr>
        <w:t xml:space="preserve"> и осуществляется с учетом отсутствия запрашиваемых сведений.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6838" w:h="11906" w:orient="landscape"/>
      <w:pgMar w:top="1134" w:right="964" w:bottom="709" w:left="1134" w:header="708" w:footer="708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ind w:left="0" w:right="0" w:firstLine="283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1018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Юридическое лицо, аккредитованное Росавиацией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для обработки персональных данных отдельных категорий лиц, принимаемых на работу, непосредственно связанную с обеспечением транспортной бе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зопасности, или осуществляющих такую работу, в целях проверки субъектом транспортной инфр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аструктуры сведений, предусмотренных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пунктами 1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6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 и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9 части 1 статьи 10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 Федерального закона «О транспортной безопасности», а также для принятия органами аттестации решения об аттестации сил обеспечения транспортной безопасности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, на воздушном транспорте.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14:ligatures w14:val="none"/>
        </w:rPr>
      </w:r>
    </w:p>
  </w:footnote>
  <w:footnote w:id="3">
    <w:p>
      <w:pPr>
        <w:ind w:left="0" w:right="0" w:firstLine="283"/>
        <w:jc w:val="both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1018"/>
          <w:rFonts w:ascii="Times New Roman" w:hAnsi="Times New Roman" w:eastAsia="Times New Roman" w:cs="Times New Roman"/>
          <w:color w:val="000000" w:themeColor="text1"/>
          <w:sz w:val="20"/>
          <w:szCs w:val="20"/>
        </w:rPr>
        <w:footnoteRef/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u w:val="none"/>
        </w:rPr>
        <w:t xml:space="preserve">Правила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аккредитации юридических лиц для обработки персональных данных отдельных категорий лиц, принимаемых на работу, непосредственно связанную </w:t>
        <w:br/>
        <w:t xml:space="preserve">с обеспечением транспортной безопасности, или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u w:val="none"/>
        </w:rPr>
        <w:t xml:space="preserve">осуществляющих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такую работу, в целях проверки субъектом транспортной инф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раструктуры сведений, предусмотренных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u w:val="none"/>
        </w:rPr>
        <w:t xml:space="preserve">пунктами 1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u w:val="none"/>
        </w:rPr>
        <w:t xml:space="preserve">6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 и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u w:val="none"/>
        </w:rPr>
        <w:t xml:space="preserve">9 части 1 статьи 10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 Федерального закона "О транспортной безопасности", а также для принятия органами аттестации решения об аттестации сил </w:t>
        <w:br/>
        <w:t xml:space="preserve">обеспечения транспортной безопасности, утверж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денные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остановлением Правительства Российской Федерации от 01.06.2023 № 906 (далее – Правила)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0"/>
          <w:szCs w:val="20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0"/>
          <w:szCs w:val="20"/>
          <w14:ligatures w14:val="none"/>
        </w:rPr>
      </w:r>
    </w:p>
  </w:footnote>
  <w:footnote w:id="4">
    <w:p>
      <w:pPr>
        <w:pStyle w:val="1016"/>
        <w:ind w:left="0" w:right="0" w:firstLine="283"/>
        <w:rPr>
          <w:rFonts w:ascii="Times New Roman" w:hAnsi="Times New Roman" w:cs="Times New Roman"/>
          <w:sz w:val="20"/>
          <w:szCs w:val="20"/>
        </w:rPr>
      </w:pPr>
      <w:r>
        <w:rPr>
          <w:rStyle w:val="1018"/>
          <w:rFonts w:ascii="Times New Roman" w:hAnsi="Times New Roman" w:eastAsia="Times New Roman" w:cs="Times New Roman"/>
          <w:sz w:val="20"/>
          <w:szCs w:val="20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Пункт 2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приложения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№ 3 к Правилам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</w:footnote>
  <w:footnote w:id="5">
    <w:p>
      <w:pPr>
        <w:pStyle w:val="1016"/>
        <w:ind w:left="0" w:right="0" w:firstLine="283"/>
        <w:spacing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Style w:val="1018"/>
          <w:rFonts w:ascii="Times New Roman" w:hAnsi="Times New Roman" w:eastAsia="Times New Roman" w:cs="Times New Roman"/>
          <w:sz w:val="20"/>
          <w:szCs w:val="20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0"/>
          <w:szCs w:val="20"/>
          <w:highlight w:val="none"/>
        </w:rPr>
        <w:t xml:space="preserve">П. 2 части 1 статьи 18.1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0"/>
          <w:szCs w:val="20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0"/>
          <w:szCs w:val="20"/>
          <w:highlight w:val="none"/>
        </w:rPr>
        <w:t xml:space="preserve">Федерального закона от 27.07.2006 № 152-ФЗ «О персональных данных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0"/>
          <w:szCs w:val="20"/>
          <w:highlight w:val="none"/>
        </w:rPr>
        <w:t xml:space="preserve">».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</w:footnote>
  <w:footnote w:id="6">
    <w:p>
      <w:pPr>
        <w:ind w:left="0" w:right="0" w:firstLine="283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1018"/>
        </w:rPr>
        <w:footnoteRef/>
      </w:r>
      <w:r>
        <w:t xml:space="preserve"> </w:t>
      </w:r>
      <w:r>
        <w:rPr>
          <w:rFonts w:ascii="Times New Roman" w:hAnsi="Times New Roman"/>
          <w:i w:val="0"/>
          <w:iCs w:val="0"/>
          <w:color w:val="000000" w:themeColor="text1"/>
          <w:sz w:val="20"/>
          <w:szCs w:val="20"/>
          <w:highlight w:val="none"/>
        </w:rPr>
        <w:t xml:space="preserve">Часть 1 статьи 22.1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Федерального закона от 27.07.2006 № 152-ФЗ «О персональных данных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14:ligatures w14:val="none"/>
        </w:rPr>
      </w:r>
    </w:p>
  </w:footnote>
  <w:footnote w:id="7">
    <w:p>
      <w:pPr>
        <w:ind w:left="0" w:right="0" w:firstLine="283"/>
        <w:jc w:val="both"/>
        <w:spacing w:before="0" w:after="0" w:line="240" w:lineRule="auto"/>
        <w:rPr>
          <w:rFonts w:ascii="Times New Roman" w:hAnsi="Times New Roman" w:cs="Times New Roman"/>
          <w:bCs w:val="0"/>
          <w:i w:val="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1018"/>
          <w:rFonts w:ascii="Times New Roman" w:hAnsi="Times New Roman" w:eastAsia="Times New Roman" w:cs="Times New Roman"/>
          <w:i w:val="0"/>
          <w:iCs w:val="0"/>
          <w:sz w:val="20"/>
          <w:szCs w:val="20"/>
        </w:rPr>
        <w:footnoteRef/>
      </w:r>
      <w:r>
        <w:rPr>
          <w:rFonts w:ascii="Times New Roman" w:hAnsi="Times New Roman" w:eastAsia="Times New Roman" w:cs="Times New Roman"/>
          <w:i w:val="0"/>
          <w:iCs w:val="0"/>
          <w:sz w:val="20"/>
          <w:szCs w:val="20"/>
        </w:rPr>
        <w:t xml:space="preserve"> Пункты 13, 14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0"/>
          <w:szCs w:val="20"/>
          <w:u w:val="none"/>
        </w:rPr>
        <w:t xml:space="preserve">требований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0"/>
          <w:szCs w:val="20"/>
        </w:rPr>
        <w:t xml:space="preserve"> к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0"/>
          <w:szCs w:val="20"/>
        </w:rPr>
        <w:t xml:space="preserve">защите персональных данных при их обработке в информационных системах персональных данных, утвержденных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0"/>
          <w:szCs w:val="20"/>
          <w:highlight w:val="none"/>
        </w:rPr>
        <w:t xml:space="preserve">постановлением Правительства Рос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0"/>
          <w:szCs w:val="20"/>
          <w:highlight w:val="none"/>
        </w:rPr>
        <w:t xml:space="preserve">сийской Федерации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0"/>
          <w:szCs w:val="20"/>
          <w:highlight w:val="none"/>
        </w:rPr>
        <w:t xml:space="preserve">от 01.11.2012 № 1119.</w:t>
      </w:r>
      <w:r>
        <w:rPr>
          <w:rFonts w:ascii="Times New Roman" w:hAnsi="Times New Roman" w:cs="Times New Roman"/>
          <w:bCs w:val="0"/>
          <w:i w:val="0"/>
          <w:sz w:val="20"/>
          <w:szCs w:val="20"/>
        </w:rPr>
      </w:r>
      <w:r>
        <w:rPr>
          <w:rFonts w:ascii="Times New Roman" w:hAnsi="Times New Roman" w:cs="Times New Roman"/>
          <w:bCs w:val="0"/>
          <w:i w:val="0"/>
          <w:sz w:val="20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jc w:val="center"/>
    </w:pPr>
    <w:fldSimple w:instr="PAGE \* MERGEFORMAT">
      <w:r>
        <w:t xml:space="preserve">1</w:t>
      </w:r>
    </w:fldSimple>
    <w:r/>
    <w:r/>
  </w:p>
  <w:p>
    <w:pPr>
      <w:pStyle w:val="88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1418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34">
    <w:name w:val="Heading 1 Char"/>
    <w:basedOn w:val="861"/>
    <w:link w:val="852"/>
    <w:uiPriority w:val="9"/>
    <w:rPr>
      <w:rFonts w:ascii="Arial" w:hAnsi="Arial" w:eastAsia="Arial" w:cs="Arial"/>
      <w:sz w:val="40"/>
      <w:szCs w:val="40"/>
    </w:rPr>
  </w:style>
  <w:style w:type="character" w:styleId="835">
    <w:name w:val="Heading 2 Char"/>
    <w:basedOn w:val="861"/>
    <w:link w:val="853"/>
    <w:uiPriority w:val="9"/>
    <w:rPr>
      <w:rFonts w:ascii="Arial" w:hAnsi="Arial" w:eastAsia="Arial" w:cs="Arial"/>
      <w:sz w:val="34"/>
    </w:rPr>
  </w:style>
  <w:style w:type="character" w:styleId="836">
    <w:name w:val="Heading 3 Char"/>
    <w:basedOn w:val="861"/>
    <w:link w:val="854"/>
    <w:uiPriority w:val="9"/>
    <w:rPr>
      <w:rFonts w:ascii="Arial" w:hAnsi="Arial" w:eastAsia="Arial" w:cs="Arial"/>
      <w:sz w:val="30"/>
      <w:szCs w:val="30"/>
    </w:rPr>
  </w:style>
  <w:style w:type="character" w:styleId="837">
    <w:name w:val="Heading 4 Char"/>
    <w:basedOn w:val="861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838">
    <w:name w:val="Heading 5 Char"/>
    <w:basedOn w:val="861"/>
    <w:link w:val="856"/>
    <w:uiPriority w:val="9"/>
    <w:rPr>
      <w:rFonts w:ascii="Arial" w:hAnsi="Arial" w:eastAsia="Arial" w:cs="Arial"/>
      <w:b/>
      <w:bCs/>
      <w:sz w:val="24"/>
      <w:szCs w:val="24"/>
    </w:rPr>
  </w:style>
  <w:style w:type="character" w:styleId="839">
    <w:name w:val="Heading 6 Char"/>
    <w:basedOn w:val="861"/>
    <w:link w:val="857"/>
    <w:uiPriority w:val="9"/>
    <w:rPr>
      <w:rFonts w:ascii="Arial" w:hAnsi="Arial" w:eastAsia="Arial" w:cs="Arial"/>
      <w:b/>
      <w:bCs/>
      <w:sz w:val="22"/>
      <w:szCs w:val="22"/>
    </w:rPr>
  </w:style>
  <w:style w:type="character" w:styleId="840">
    <w:name w:val="Heading 7 Char"/>
    <w:basedOn w:val="861"/>
    <w:link w:val="8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1">
    <w:name w:val="Heading 8 Char"/>
    <w:basedOn w:val="861"/>
    <w:link w:val="859"/>
    <w:uiPriority w:val="9"/>
    <w:rPr>
      <w:rFonts w:ascii="Arial" w:hAnsi="Arial" w:eastAsia="Arial" w:cs="Arial"/>
      <w:i/>
      <w:iCs/>
      <w:sz w:val="22"/>
      <w:szCs w:val="22"/>
    </w:rPr>
  </w:style>
  <w:style w:type="character" w:styleId="842">
    <w:name w:val="Heading 9 Char"/>
    <w:basedOn w:val="861"/>
    <w:link w:val="860"/>
    <w:uiPriority w:val="9"/>
    <w:rPr>
      <w:rFonts w:ascii="Arial" w:hAnsi="Arial" w:eastAsia="Arial" w:cs="Arial"/>
      <w:i/>
      <w:iCs/>
      <w:sz w:val="21"/>
      <w:szCs w:val="21"/>
    </w:rPr>
  </w:style>
  <w:style w:type="character" w:styleId="843">
    <w:name w:val="Title Char"/>
    <w:basedOn w:val="861"/>
    <w:link w:val="875"/>
    <w:uiPriority w:val="10"/>
    <w:rPr>
      <w:sz w:val="48"/>
      <w:szCs w:val="48"/>
    </w:rPr>
  </w:style>
  <w:style w:type="character" w:styleId="844">
    <w:name w:val="Subtitle Char"/>
    <w:basedOn w:val="861"/>
    <w:link w:val="877"/>
    <w:uiPriority w:val="11"/>
    <w:rPr>
      <w:sz w:val="24"/>
      <w:szCs w:val="24"/>
    </w:rPr>
  </w:style>
  <w:style w:type="character" w:styleId="845">
    <w:name w:val="Quote Char"/>
    <w:link w:val="879"/>
    <w:uiPriority w:val="29"/>
    <w:rPr>
      <w:i/>
    </w:rPr>
  </w:style>
  <w:style w:type="character" w:styleId="846">
    <w:name w:val="Intense Quote Char"/>
    <w:link w:val="881"/>
    <w:uiPriority w:val="30"/>
    <w:rPr>
      <w:i/>
    </w:rPr>
  </w:style>
  <w:style w:type="character" w:styleId="847">
    <w:name w:val="Header Char"/>
    <w:basedOn w:val="861"/>
    <w:link w:val="883"/>
    <w:uiPriority w:val="99"/>
  </w:style>
  <w:style w:type="character" w:styleId="848">
    <w:name w:val="Caption Char"/>
    <w:basedOn w:val="887"/>
    <w:link w:val="885"/>
    <w:uiPriority w:val="99"/>
  </w:style>
  <w:style w:type="character" w:styleId="849">
    <w:name w:val="Footnote Text Char"/>
    <w:link w:val="1016"/>
    <w:uiPriority w:val="99"/>
    <w:rPr>
      <w:sz w:val="18"/>
    </w:rPr>
  </w:style>
  <w:style w:type="character" w:styleId="850">
    <w:name w:val="Endnote Text Char"/>
    <w:link w:val="1019"/>
    <w:uiPriority w:val="99"/>
    <w:rPr>
      <w:sz w:val="20"/>
    </w:rPr>
  </w:style>
  <w:style w:type="paragraph" w:styleId="851" w:default="1">
    <w:name w:val="Normal"/>
    <w:qFormat/>
  </w:style>
  <w:style w:type="paragraph" w:styleId="852">
    <w:name w:val="Heading 1"/>
    <w:basedOn w:val="851"/>
    <w:next w:val="851"/>
    <w:link w:val="8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853">
    <w:name w:val="Heading 2"/>
    <w:basedOn w:val="851"/>
    <w:next w:val="851"/>
    <w:link w:val="8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854">
    <w:name w:val="Heading 3"/>
    <w:basedOn w:val="851"/>
    <w:next w:val="851"/>
    <w:link w:val="8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855">
    <w:name w:val="Heading 4"/>
    <w:basedOn w:val="851"/>
    <w:next w:val="851"/>
    <w:link w:val="8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56">
    <w:name w:val="Heading 5"/>
    <w:basedOn w:val="851"/>
    <w:next w:val="851"/>
    <w:link w:val="8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57">
    <w:name w:val="Heading 6"/>
    <w:basedOn w:val="851"/>
    <w:next w:val="851"/>
    <w:link w:val="8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858">
    <w:name w:val="Heading 7"/>
    <w:basedOn w:val="851"/>
    <w:next w:val="851"/>
    <w:link w:val="8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859">
    <w:name w:val="Heading 8"/>
    <w:basedOn w:val="851"/>
    <w:next w:val="851"/>
    <w:link w:val="8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860">
    <w:name w:val="Heading 9"/>
    <w:basedOn w:val="851"/>
    <w:next w:val="851"/>
    <w:link w:val="8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61" w:default="1">
    <w:name w:val="Default Paragraph Font"/>
    <w:uiPriority w:val="1"/>
    <w:semiHidden/>
    <w:unhideWhenUsed/>
  </w:style>
  <w:style w:type="table" w:styleId="8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character" w:styleId="864" w:customStyle="1">
    <w:name w:val="Заголовок 1 Знак"/>
    <w:basedOn w:val="861"/>
    <w:link w:val="852"/>
    <w:uiPriority w:val="9"/>
    <w:rPr>
      <w:rFonts w:ascii="Arial" w:hAnsi="Arial" w:eastAsia="Arial" w:cs="Arial"/>
      <w:sz w:val="40"/>
      <w:szCs w:val="40"/>
    </w:rPr>
  </w:style>
  <w:style w:type="character" w:styleId="865" w:customStyle="1">
    <w:name w:val="Заголовок 2 Знак"/>
    <w:basedOn w:val="861"/>
    <w:link w:val="853"/>
    <w:uiPriority w:val="9"/>
    <w:rPr>
      <w:rFonts w:ascii="Arial" w:hAnsi="Arial" w:eastAsia="Arial" w:cs="Arial"/>
      <w:sz w:val="34"/>
    </w:rPr>
  </w:style>
  <w:style w:type="character" w:styleId="866" w:customStyle="1">
    <w:name w:val="Заголовок 3 Знак"/>
    <w:basedOn w:val="861"/>
    <w:link w:val="854"/>
    <w:uiPriority w:val="9"/>
    <w:rPr>
      <w:rFonts w:ascii="Arial" w:hAnsi="Arial" w:eastAsia="Arial" w:cs="Arial"/>
      <w:sz w:val="30"/>
      <w:szCs w:val="30"/>
    </w:rPr>
  </w:style>
  <w:style w:type="character" w:styleId="867" w:customStyle="1">
    <w:name w:val="Заголовок 4 Знак"/>
    <w:basedOn w:val="861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868" w:customStyle="1">
    <w:name w:val="Заголовок 5 Знак"/>
    <w:basedOn w:val="861"/>
    <w:link w:val="856"/>
    <w:uiPriority w:val="9"/>
    <w:rPr>
      <w:rFonts w:ascii="Arial" w:hAnsi="Arial" w:eastAsia="Arial" w:cs="Arial"/>
      <w:b/>
      <w:bCs/>
      <w:sz w:val="24"/>
      <w:szCs w:val="24"/>
    </w:rPr>
  </w:style>
  <w:style w:type="character" w:styleId="869" w:customStyle="1">
    <w:name w:val="Заголовок 6 Знак"/>
    <w:basedOn w:val="861"/>
    <w:link w:val="857"/>
    <w:uiPriority w:val="9"/>
    <w:rPr>
      <w:rFonts w:ascii="Arial" w:hAnsi="Arial" w:eastAsia="Arial" w:cs="Arial"/>
      <w:b/>
      <w:bCs/>
      <w:sz w:val="22"/>
      <w:szCs w:val="22"/>
    </w:rPr>
  </w:style>
  <w:style w:type="character" w:styleId="870" w:customStyle="1">
    <w:name w:val="Заголовок 7 Знак"/>
    <w:basedOn w:val="861"/>
    <w:link w:val="8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71" w:customStyle="1">
    <w:name w:val="Заголовок 8 Знак"/>
    <w:basedOn w:val="861"/>
    <w:link w:val="859"/>
    <w:uiPriority w:val="9"/>
    <w:rPr>
      <w:rFonts w:ascii="Arial" w:hAnsi="Arial" w:eastAsia="Arial" w:cs="Arial"/>
      <w:i/>
      <w:iCs/>
      <w:sz w:val="22"/>
      <w:szCs w:val="22"/>
    </w:rPr>
  </w:style>
  <w:style w:type="character" w:styleId="872" w:customStyle="1">
    <w:name w:val="Заголовок 9 Знак"/>
    <w:basedOn w:val="861"/>
    <w:link w:val="860"/>
    <w:uiPriority w:val="9"/>
    <w:rPr>
      <w:rFonts w:ascii="Arial" w:hAnsi="Arial" w:eastAsia="Arial" w:cs="Arial"/>
      <w:i/>
      <w:iCs/>
      <w:sz w:val="21"/>
      <w:szCs w:val="21"/>
    </w:rPr>
  </w:style>
  <w:style w:type="paragraph" w:styleId="873">
    <w:name w:val="List Paragraph"/>
    <w:basedOn w:val="851"/>
    <w:uiPriority w:val="34"/>
    <w:qFormat/>
    <w:pPr>
      <w:contextualSpacing/>
      <w:ind w:left="720"/>
    </w:pPr>
  </w:style>
  <w:style w:type="paragraph" w:styleId="874">
    <w:name w:val="No Spacing"/>
    <w:uiPriority w:val="1"/>
    <w:qFormat/>
    <w:pPr>
      <w:spacing w:after="0" w:line="240" w:lineRule="auto"/>
    </w:pPr>
  </w:style>
  <w:style w:type="paragraph" w:styleId="875">
    <w:name w:val="Title"/>
    <w:basedOn w:val="851"/>
    <w:next w:val="851"/>
    <w:link w:val="876"/>
    <w:uiPriority w:val="10"/>
    <w:qFormat/>
    <w:pPr>
      <w:contextualSpacing/>
      <w:spacing w:before="300"/>
    </w:pPr>
    <w:rPr>
      <w:sz w:val="48"/>
      <w:szCs w:val="48"/>
    </w:rPr>
  </w:style>
  <w:style w:type="character" w:styleId="876" w:customStyle="1">
    <w:name w:val="Заголовок Знак"/>
    <w:basedOn w:val="861"/>
    <w:link w:val="875"/>
    <w:uiPriority w:val="10"/>
    <w:rPr>
      <w:sz w:val="48"/>
      <w:szCs w:val="48"/>
    </w:rPr>
  </w:style>
  <w:style w:type="paragraph" w:styleId="877">
    <w:name w:val="Subtitle"/>
    <w:basedOn w:val="851"/>
    <w:next w:val="851"/>
    <w:link w:val="878"/>
    <w:uiPriority w:val="11"/>
    <w:qFormat/>
    <w:pPr>
      <w:spacing w:before="200"/>
    </w:pPr>
    <w:rPr>
      <w:sz w:val="24"/>
      <w:szCs w:val="24"/>
    </w:rPr>
  </w:style>
  <w:style w:type="character" w:styleId="878" w:customStyle="1">
    <w:name w:val="Подзаголовок Знак"/>
    <w:basedOn w:val="861"/>
    <w:link w:val="877"/>
    <w:uiPriority w:val="11"/>
    <w:rPr>
      <w:sz w:val="24"/>
      <w:szCs w:val="24"/>
    </w:rPr>
  </w:style>
  <w:style w:type="paragraph" w:styleId="879">
    <w:name w:val="Quote"/>
    <w:basedOn w:val="851"/>
    <w:next w:val="851"/>
    <w:link w:val="880"/>
    <w:uiPriority w:val="29"/>
    <w:qFormat/>
    <w:pPr>
      <w:ind w:left="720" w:right="720"/>
    </w:pPr>
    <w:rPr>
      <w:i/>
    </w:rPr>
  </w:style>
  <w:style w:type="character" w:styleId="880" w:customStyle="1">
    <w:name w:val="Цитата 2 Знак"/>
    <w:link w:val="879"/>
    <w:uiPriority w:val="29"/>
    <w:rPr>
      <w:i/>
    </w:rPr>
  </w:style>
  <w:style w:type="paragraph" w:styleId="881">
    <w:name w:val="Intense Quote"/>
    <w:basedOn w:val="851"/>
    <w:next w:val="851"/>
    <w:link w:val="8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82" w:customStyle="1">
    <w:name w:val="Выделенная цитата Знак"/>
    <w:link w:val="881"/>
    <w:uiPriority w:val="30"/>
    <w:rPr>
      <w:i/>
    </w:rPr>
  </w:style>
  <w:style w:type="paragraph" w:styleId="883">
    <w:name w:val="Header"/>
    <w:basedOn w:val="851"/>
    <w:link w:val="8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84" w:customStyle="1">
    <w:name w:val="Верхний колонтитул Знак"/>
    <w:basedOn w:val="861"/>
    <w:link w:val="883"/>
    <w:uiPriority w:val="99"/>
  </w:style>
  <w:style w:type="paragraph" w:styleId="885">
    <w:name w:val="Footer"/>
    <w:basedOn w:val="851"/>
    <w:link w:val="8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86" w:customStyle="1">
    <w:name w:val="Footer Char"/>
    <w:basedOn w:val="861"/>
    <w:uiPriority w:val="99"/>
  </w:style>
  <w:style w:type="paragraph" w:styleId="887">
    <w:name w:val="Caption"/>
    <w:basedOn w:val="851"/>
    <w:next w:val="85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888" w:customStyle="1">
    <w:name w:val="Нижний колонтитул Знак"/>
    <w:link w:val="885"/>
    <w:uiPriority w:val="99"/>
  </w:style>
  <w:style w:type="table" w:styleId="889">
    <w:name w:val="Table Grid"/>
    <w:basedOn w:val="86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90" w:customStyle="1">
    <w:name w:val="Table Grid Light"/>
    <w:basedOn w:val="86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91">
    <w:name w:val="Plain Table 1"/>
    <w:basedOn w:val="86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92">
    <w:name w:val="Plain Table 2"/>
    <w:basedOn w:val="86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93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94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96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18" w:customStyle="1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19" w:customStyle="1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20" w:customStyle="1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21" w:customStyle="1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22" w:customStyle="1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23" w:customStyle="1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24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themeColor="light1" w:sz="4" w:space="0"/>
        </w:tcBorders>
      </w:tcPr>
    </w:tblStylePr>
  </w:style>
  <w:style w:type="table" w:styleId="925" w:customStyle="1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 w:themeFill="accent1" w:themeFillTint="34"/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themeColor="light1" w:sz="4" w:space="0"/>
        </w:tcBorders>
      </w:tcPr>
    </w:tblStylePr>
  </w:style>
  <w:style w:type="table" w:styleId="926" w:customStyle="1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 w:themeFill="accent2" w:themeFillTint="32"/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themeColor="light1" w:sz="4" w:space="0"/>
        </w:tcBorders>
      </w:tcPr>
    </w:tblStylePr>
  </w:style>
  <w:style w:type="table" w:styleId="927" w:customStyle="1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 w:themeFill="accent3" w:themeFillTint="34"/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themeColor="light1" w:sz="4" w:space="0"/>
        </w:tcBorders>
      </w:tcPr>
    </w:tblStylePr>
  </w:style>
  <w:style w:type="table" w:styleId="928" w:customStyle="1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 w:themeFill="accent4" w:themeFillTint="34"/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themeColor="light1" w:sz="4" w:space="0"/>
        </w:tcBorders>
      </w:tcPr>
    </w:tblStylePr>
  </w:style>
  <w:style w:type="table" w:styleId="929" w:customStyle="1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 w:themeFill="accent5" w:themeFillTint="34"/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themeColor="light1" w:sz="4" w:space="0"/>
        </w:tcBorders>
      </w:tcPr>
    </w:tblStylePr>
  </w:style>
  <w:style w:type="table" w:styleId="930" w:customStyle="1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 w:themeFill="accent6" w:themeFillTint="34"/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themeColor="light1" w:sz="4" w:space="0"/>
        </w:tcBorders>
      </w:tcPr>
    </w:tblStylePr>
  </w:style>
  <w:style w:type="table" w:styleId="931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32" w:customStyle="1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33" w:customStyle="1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34" w:customStyle="1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35" w:customStyle="1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36" w:customStyle="1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37" w:customStyle="1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38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 w:customStyle="1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 w:customStyle="1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53" w:customStyle="1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54" w:customStyle="1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55" w:customStyle="1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56" w:customStyle="1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57" w:customStyle="1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58" w:customStyle="1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59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 w:customStyle="1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 w:customStyle="1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 w:customStyle="1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 w:customStyle="1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 w:customStyle="1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5" w:customStyle="1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 w:customStyle="1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8" w:customStyle="1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9" w:customStyle="1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 w:customStyle="1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 w:customStyle="1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 w:customStyle="1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74" w:customStyle="1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 w:themeFill="accent1"/>
    </w:tblPr>
    <w:tblStylePr w:type="band1Horz"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75" w:customStyle="1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 w:themeFill="accent2" w:themeFillTint="97"/>
    </w:tblPr>
    <w:tblStylePr w:type="band1Horz"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76" w:customStyle="1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 w:themeFill="accent3" w:themeFillTint="98"/>
    </w:tblPr>
    <w:tblStylePr w:type="band1Horz"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77" w:customStyle="1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 w:themeFill="accent4" w:themeFillTint="9A"/>
    </w:tblPr>
    <w:tblStylePr w:type="band1Horz"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78" w:customStyle="1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 w:themeFill="accent5" w:themeFillTint="9A"/>
    </w:tblPr>
    <w:tblStylePr w:type="band1Horz"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79" w:customStyle="1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 w:themeFill="accent6" w:themeFillTint="98"/>
    </w:tblPr>
    <w:tblStylePr w:type="band1Horz"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0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81" w:customStyle="1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82" w:customStyle="1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83" w:customStyle="1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84" w:customStyle="1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85" w:customStyle="1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86" w:customStyle="1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87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 w:customStyle="1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 w:customStyle="1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Lined - Accent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995" w:customStyle="1">
    <w:name w:val="Lined - Accent 1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996" w:customStyle="1">
    <w:name w:val="Lined - Accent 2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997" w:customStyle="1">
    <w:name w:val="Lined - Accent 3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998" w:customStyle="1">
    <w:name w:val="Lined - Accent 4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999" w:customStyle="1">
    <w:name w:val="Lined - Accent 5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1000" w:customStyle="1">
    <w:name w:val="Lined - Accent 6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1001" w:customStyle="1">
    <w:name w:val="Bordered &amp; Lined - Accent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1002" w:customStyle="1">
    <w:name w:val="Bordered &amp; Lined - Accent 1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1003" w:customStyle="1">
    <w:name w:val="Bordered &amp; Lined - Accent 2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1004" w:customStyle="1">
    <w:name w:val="Bordered &amp; Lined - Accent 3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1005" w:customStyle="1">
    <w:name w:val="Bordered &amp; Lined - Accent 4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1006" w:customStyle="1">
    <w:name w:val="Bordered &amp; Lined - Accent 5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1007" w:customStyle="1">
    <w:name w:val="Bordered &amp; Lined - Accent 6"/>
    <w:basedOn w:val="8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1008" w:customStyle="1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09" w:customStyle="1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10" w:customStyle="1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11" w:customStyle="1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12" w:customStyle="1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13" w:customStyle="1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14" w:customStyle="1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015">
    <w:name w:val="Hyperlink"/>
    <w:uiPriority w:val="99"/>
    <w:unhideWhenUsed/>
    <w:rPr>
      <w:color w:val="0000ff" w:themeColor="hyperlink"/>
      <w:u w:val="single"/>
    </w:rPr>
  </w:style>
  <w:style w:type="paragraph" w:styleId="1016">
    <w:name w:val="footnote text"/>
    <w:basedOn w:val="851"/>
    <w:link w:val="1017"/>
    <w:uiPriority w:val="99"/>
    <w:semiHidden/>
    <w:unhideWhenUsed/>
    <w:pPr>
      <w:spacing w:after="40" w:line="240" w:lineRule="auto"/>
    </w:pPr>
    <w:rPr>
      <w:sz w:val="18"/>
    </w:rPr>
  </w:style>
  <w:style w:type="character" w:styleId="1017" w:customStyle="1">
    <w:name w:val="Текст сноски Знак"/>
    <w:link w:val="1016"/>
    <w:uiPriority w:val="99"/>
    <w:rPr>
      <w:sz w:val="18"/>
    </w:rPr>
  </w:style>
  <w:style w:type="character" w:styleId="1018">
    <w:name w:val="footnote reference"/>
    <w:basedOn w:val="861"/>
    <w:uiPriority w:val="99"/>
    <w:unhideWhenUsed/>
    <w:rPr>
      <w:vertAlign w:val="superscript"/>
    </w:rPr>
  </w:style>
  <w:style w:type="paragraph" w:styleId="1019">
    <w:name w:val="endnote text"/>
    <w:basedOn w:val="851"/>
    <w:link w:val="1020"/>
    <w:uiPriority w:val="99"/>
    <w:semiHidden/>
    <w:unhideWhenUsed/>
    <w:pPr>
      <w:spacing w:after="0" w:line="240" w:lineRule="auto"/>
    </w:pPr>
    <w:rPr>
      <w:sz w:val="20"/>
    </w:rPr>
  </w:style>
  <w:style w:type="character" w:styleId="1020" w:customStyle="1">
    <w:name w:val="Текст концевой сноски Знак"/>
    <w:link w:val="1019"/>
    <w:uiPriority w:val="99"/>
    <w:rPr>
      <w:sz w:val="20"/>
    </w:rPr>
  </w:style>
  <w:style w:type="character" w:styleId="1021">
    <w:name w:val="endnote reference"/>
    <w:basedOn w:val="861"/>
    <w:uiPriority w:val="99"/>
    <w:semiHidden/>
    <w:unhideWhenUsed/>
    <w:rPr>
      <w:vertAlign w:val="superscript"/>
    </w:rPr>
  </w:style>
  <w:style w:type="paragraph" w:styleId="1022">
    <w:name w:val="toc 1"/>
    <w:basedOn w:val="851"/>
    <w:next w:val="851"/>
    <w:uiPriority w:val="39"/>
    <w:unhideWhenUsed/>
    <w:pPr>
      <w:spacing w:after="57"/>
    </w:pPr>
  </w:style>
  <w:style w:type="paragraph" w:styleId="1023">
    <w:name w:val="toc 2"/>
    <w:basedOn w:val="851"/>
    <w:next w:val="851"/>
    <w:uiPriority w:val="39"/>
    <w:unhideWhenUsed/>
    <w:pPr>
      <w:ind w:left="283"/>
      <w:spacing w:after="57"/>
    </w:pPr>
  </w:style>
  <w:style w:type="paragraph" w:styleId="1024">
    <w:name w:val="toc 3"/>
    <w:basedOn w:val="851"/>
    <w:next w:val="851"/>
    <w:uiPriority w:val="39"/>
    <w:unhideWhenUsed/>
    <w:pPr>
      <w:ind w:left="567"/>
      <w:spacing w:after="57"/>
    </w:pPr>
  </w:style>
  <w:style w:type="paragraph" w:styleId="1025">
    <w:name w:val="toc 4"/>
    <w:basedOn w:val="851"/>
    <w:next w:val="851"/>
    <w:uiPriority w:val="39"/>
    <w:unhideWhenUsed/>
    <w:pPr>
      <w:ind w:left="850"/>
      <w:spacing w:after="57"/>
    </w:pPr>
  </w:style>
  <w:style w:type="paragraph" w:styleId="1026">
    <w:name w:val="toc 5"/>
    <w:basedOn w:val="851"/>
    <w:next w:val="851"/>
    <w:uiPriority w:val="39"/>
    <w:unhideWhenUsed/>
    <w:pPr>
      <w:ind w:left="1134"/>
      <w:spacing w:after="57"/>
    </w:pPr>
  </w:style>
  <w:style w:type="paragraph" w:styleId="1027">
    <w:name w:val="toc 6"/>
    <w:basedOn w:val="851"/>
    <w:next w:val="851"/>
    <w:uiPriority w:val="39"/>
    <w:unhideWhenUsed/>
    <w:pPr>
      <w:ind w:left="1417"/>
      <w:spacing w:after="57"/>
    </w:pPr>
  </w:style>
  <w:style w:type="paragraph" w:styleId="1028">
    <w:name w:val="toc 7"/>
    <w:basedOn w:val="851"/>
    <w:next w:val="851"/>
    <w:uiPriority w:val="39"/>
    <w:unhideWhenUsed/>
    <w:pPr>
      <w:ind w:left="1701"/>
      <w:spacing w:after="57"/>
    </w:pPr>
  </w:style>
  <w:style w:type="paragraph" w:styleId="1029">
    <w:name w:val="toc 8"/>
    <w:basedOn w:val="851"/>
    <w:next w:val="851"/>
    <w:uiPriority w:val="39"/>
    <w:unhideWhenUsed/>
    <w:pPr>
      <w:ind w:left="1984"/>
      <w:spacing w:after="57"/>
    </w:pPr>
  </w:style>
  <w:style w:type="paragraph" w:styleId="1030">
    <w:name w:val="toc 9"/>
    <w:basedOn w:val="851"/>
    <w:next w:val="851"/>
    <w:uiPriority w:val="39"/>
    <w:unhideWhenUsed/>
    <w:pPr>
      <w:ind w:left="2268"/>
      <w:spacing w:after="57"/>
    </w:pPr>
  </w:style>
  <w:style w:type="paragraph" w:styleId="1031">
    <w:name w:val="TOC Heading"/>
    <w:uiPriority w:val="39"/>
    <w:unhideWhenUsed/>
  </w:style>
  <w:style w:type="paragraph" w:styleId="1032">
    <w:name w:val="table of figures"/>
    <w:basedOn w:val="851"/>
    <w:next w:val="851"/>
    <w:uiPriority w:val="99"/>
    <w:unhideWhenUsed/>
    <w:pPr>
      <w:spacing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Малимон Сергей</dc:creator>
  <cp:keywords/>
  <dc:description/>
  <cp:revision>27</cp:revision>
  <dcterms:created xsi:type="dcterms:W3CDTF">2023-12-10T14:15:00Z</dcterms:created>
  <dcterms:modified xsi:type="dcterms:W3CDTF">2026-07-27T07:02:37Z</dcterms:modified>
</cp:coreProperties>
</file>