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</w:tblPr>
      <w:tblGrid>
        <w:gridCol w:w="10716"/>
      </w:tblGrid>
      <w:tr>
        <w:trPr>
          <w:trHeight w:val="3031" w:hRule="exact"/>
        </w:trPr>
        <w:tc>
          <w:tcPr>
            <w:tcW w:w="10716" w:type="dxa"/>
            <w:tcBorders/>
          </w:tcPr>
          <w:p>
            <w:pPr>
              <w:pStyle w:val="ConsPlusTitlePage"/>
              <w:rPr/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онсультант Плюс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26"/>
              </w:rPr>
              <w:t>Приказ Минтранса России от 18.10.2024 N 367</w:t>
              <w:br/>
              <w:t>"Об утверждении Федеральных авиационных правил "Техническое обслуживание подлежащих обязательной сертификации беспилотных авиационных систем и (или) их элементов, гражданских воздушных судов, авиационных двигателей, воздушных винтов, за исключением легких, сверхлегких гражданских воздушных судов, не осуществляющих коммерческих воздушных перевозок и авиационных работ. Часть 145"</w:t>
              <w:br/>
              <w:t>(вместе с "Порядком выдачи, приостановления и возобновления действия документа, подтверждающего соответствие юридического лица, индивидуального предпринимателя, осуществляющих техническое обслуживание подлежащих обязательной сертификации беспилотных авиационных систем и (или) их элементов, гражданских воздушных судов, авиационных двигателей, воздушных винтов, за исключением легких, сверхлегких гражданских воздушных судов, не осуществляющих коммерческих воздушных перевозок и авиационных работ, требованиям федеральных авиационных правил, введения ограничений в его действие и их снятия, внесения в него изменений и его аннулирования", "Требованиями к юридическим лицам, индивидуальным предпринимателям, осуществляющим техническое обслуживание подлежащих обязательной сертификации беспилотных авиационных систем и (или) их элементов, гражданских воздушных судов, авиационных двигателей, воздушных винтов, за исключением легких, сверхлегких гражданских воздушных судов, не осуществляющих коммерческих воздушных перевозок и авиационных работ, и правила технического обслуживания")</w:t>
              <w:br/>
              <w:t>(Зарегистрировано в Минюсте России 29.11.2024 N 80413)</w:t>
            </w:r>
          </w:p>
        </w:tc>
      </w:tr>
      <w:tr>
        <w:trPr>
          <w:trHeight w:val="3031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4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br/>
            </w:r>
          </w:p>
        </w:tc>
      </w:tr>
    </w:tbl>
    <w:p>
      <w:pPr>
        <w:sectPr>
          <w:type w:val="nextPage"/>
          <w:pgSz w:w="11906" w:h="16838"/>
          <w:pgMar w:left="595" w:right="595" w:gutter="0" w:header="0" w:top="841" w:footer="0" w:bottom="841"/>
          <w:pgNumType w:fmt="decimal"/>
          <w:formProt w:val="false"/>
          <w:textDirection w:val="lrTb"/>
          <w:docGrid w:type="default" w:linePitch="100" w:charSpace="4096"/>
        </w:sectPr>
        <w:pStyle w:val="ConsPlusNormal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left="0"/>
        <w:jc w:val="both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left="0"/>
        <w:outlineLvl w:val="0"/>
        <w:rPr/>
      </w:pPr>
      <w:r>
        <w:rPr>
          <w:sz w:val="24"/>
        </w:rPr>
        <w:t>Зарегистрировано в Минюсте России 29 ноября 2024 г. N 80413</w:t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МИНИСТЕРСТВО ТРАНСПОРТА РОССИЙСКОЙ ФЕДЕРАЦИИ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ПРИКАЗ</w:t>
      </w:r>
    </w:p>
    <w:p>
      <w:pPr>
        <w:pStyle w:val="ConsPlusTitle"/>
        <w:jc w:val="center"/>
        <w:rPr/>
      </w:pPr>
      <w:r>
        <w:rPr>
          <w:sz w:val="24"/>
        </w:rPr>
        <w:t>от 18 октября 2024 г. N 367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ОБ УТВЕРЖДЕНИИ ФЕДЕРАЛЬНЫХ АВИАЦИОННЫХ ПРАВИЛ</w:t>
      </w:r>
    </w:p>
    <w:p>
      <w:pPr>
        <w:pStyle w:val="ConsPlusTitle"/>
        <w:jc w:val="center"/>
        <w:rPr/>
      </w:pPr>
      <w:r>
        <w:rPr>
          <w:sz w:val="24"/>
        </w:rPr>
        <w:t>"ТЕХНИЧЕСКОЕ ОБСЛУЖИВАНИЕ ПОДЛЕЖАЩИХ ОБЯЗАТЕЛЬНОЙ</w:t>
      </w:r>
    </w:p>
    <w:p>
      <w:pPr>
        <w:pStyle w:val="ConsPlusTitle"/>
        <w:jc w:val="center"/>
        <w:rPr/>
      </w:pPr>
      <w:r>
        <w:rPr>
          <w:sz w:val="24"/>
        </w:rPr>
        <w:t>СЕРТИФИКАЦИИ БЕСПИЛОТНЫХ АВИАЦИОННЫХ СИСТЕМ И (ИЛИ) ИХ</w:t>
      </w:r>
    </w:p>
    <w:p>
      <w:pPr>
        <w:pStyle w:val="ConsPlusTitle"/>
        <w:jc w:val="center"/>
        <w:rPr/>
      </w:pPr>
      <w:r>
        <w:rPr>
          <w:sz w:val="24"/>
        </w:rPr>
        <w:t>ЭЛЕМЕНТОВ, ГРАЖДАНСКИХ ВОЗДУШНЫХ СУДОВ, АВИАЦИОННЫХ</w:t>
      </w:r>
    </w:p>
    <w:p>
      <w:pPr>
        <w:pStyle w:val="ConsPlusTitle"/>
        <w:jc w:val="center"/>
        <w:rPr/>
      </w:pPr>
      <w:r>
        <w:rPr>
          <w:sz w:val="24"/>
        </w:rPr>
        <w:t>ДВИГАТЕЛЕЙ, ВОЗДУШНЫХ ВИНТОВ, ЗА ИСКЛЮЧЕНИЕМ ЛЕГКИХ,</w:t>
      </w:r>
    </w:p>
    <w:p>
      <w:pPr>
        <w:pStyle w:val="ConsPlusTitle"/>
        <w:jc w:val="center"/>
        <w:rPr/>
      </w:pPr>
      <w:r>
        <w:rPr>
          <w:sz w:val="24"/>
        </w:rPr>
        <w:t>СВЕРХЛЕГКИХ ГРАЖДАНСКИХ ВОЗДУШНЫХ СУДОВ, НЕ ОСУЩЕСТВЛЯЮЩИХ</w:t>
      </w:r>
    </w:p>
    <w:p>
      <w:pPr>
        <w:pStyle w:val="ConsPlusTitle"/>
        <w:jc w:val="center"/>
        <w:rPr/>
      </w:pPr>
      <w:r>
        <w:rPr>
          <w:sz w:val="24"/>
        </w:rPr>
        <w:t>КОММЕРЧЕСКИХ ВОЗДУШНЫХ ПЕРЕВОЗОК И АВИАЦИОННЫХ</w:t>
      </w:r>
    </w:p>
    <w:p>
      <w:pPr>
        <w:pStyle w:val="ConsPlusTitle"/>
        <w:jc w:val="center"/>
        <w:rPr/>
      </w:pPr>
      <w:r>
        <w:rPr>
          <w:sz w:val="24"/>
        </w:rPr>
        <w:t>РАБОТ. ЧАСТЬ 145"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 xml:space="preserve">В соответствии с </w:t>
      </w:r>
      <w:hyperlink r:id="rId5" w:tgtFrame="&quot;Воздушный кодекс Российской Федерации">
        <w:r>
          <w:rPr>
            <w:rStyle w:val="ListLabel2"/>
            <w:color w:val="0000FF"/>
            <w:sz w:val="24"/>
          </w:rPr>
          <w:t>пунктом 3 статьи 8</w:t>
        </w:r>
      </w:hyperlink>
      <w:r>
        <w:rPr>
          <w:sz w:val="24"/>
        </w:rPr>
        <w:t xml:space="preserve">, </w:t>
      </w:r>
      <w:hyperlink r:id="rId6" w:tgtFrame="&quot;Воздушный кодекс Российской Федерации">
        <w:r>
          <w:rPr>
            <w:rStyle w:val="ListLabel2"/>
            <w:color w:val="0000FF"/>
            <w:sz w:val="24"/>
          </w:rPr>
          <w:t>статьей 10</w:t>
        </w:r>
      </w:hyperlink>
      <w:r>
        <w:rPr>
          <w:sz w:val="24"/>
        </w:rPr>
        <w:t xml:space="preserve">, </w:t>
      </w:r>
      <w:hyperlink r:id="rId7" w:tgtFrame="&quot;Воздушный кодекс Российской Федерации">
        <w:r>
          <w:rPr>
            <w:rStyle w:val="ListLabel2"/>
            <w:color w:val="0000FF"/>
            <w:sz w:val="24"/>
          </w:rPr>
          <w:t>пунктом 7 статьи 37.1</w:t>
        </w:r>
      </w:hyperlink>
      <w:r>
        <w:rPr>
          <w:sz w:val="24"/>
        </w:rPr>
        <w:t xml:space="preserve">, </w:t>
      </w:r>
      <w:hyperlink r:id="rId8" w:tgtFrame="&quot;Воздушный кодекс Российской Федерации">
        <w:r>
          <w:rPr>
            <w:rStyle w:val="ListLabel2"/>
            <w:color w:val="0000FF"/>
            <w:sz w:val="24"/>
          </w:rPr>
          <w:t>пунктом 1 статьи 37.3</w:t>
        </w:r>
      </w:hyperlink>
      <w:r>
        <w:rPr>
          <w:sz w:val="24"/>
        </w:rPr>
        <w:t xml:space="preserve"> Воздушного кодекса Российской Федерации, </w:t>
      </w:r>
      <w:hyperlink r:id="rId9" w:tgtFrame="Постановление Правительства РФ от 27.03.1998 N 360 (ред. от 28.02.2019) О федеральных правилах использования воздушного пространства и федеральных авиационных правилах">
        <w:r>
          <w:rPr>
            <w:rStyle w:val="ListLabel2"/>
            <w:color w:val="0000FF"/>
            <w:sz w:val="24"/>
          </w:rPr>
          <w:t>пунктом 3(1)</w:t>
        </w:r>
      </w:hyperlink>
      <w:r>
        <w:rPr>
          <w:sz w:val="24"/>
        </w:rPr>
        <w:t xml:space="preserve"> Положения о подготовке федеральных правил использования воздушного пространства и федеральных авиационных правил, утвержденного постановлением Правительства Российской Федерации от 27 марта 1998 г. N 360, </w:t>
      </w:r>
      <w:hyperlink r:id="rId10" w:tgtFrame="Постановление Правительства РФ от 30.07.2004 N 395 (ред. от 07.03.2025) Об утверждении Положения о Министерстве транспорта Российской Федерации">
        <w:r>
          <w:rPr>
            <w:rStyle w:val="ListLabel2"/>
            <w:color w:val="0000FF"/>
            <w:sz w:val="24"/>
          </w:rPr>
          <w:t>абзацем первым пункта 1</w:t>
        </w:r>
      </w:hyperlink>
      <w:r>
        <w:rPr>
          <w:sz w:val="24"/>
        </w:rPr>
        <w:t xml:space="preserve"> и </w:t>
      </w:r>
      <w:hyperlink r:id="rId11" w:tgtFrame="Постановление Правительства РФ от 30.07.2004 N 395 (ред. от 07.03.2025) Об утверждении Положения о Министерстве транспорта Российской Федерации">
        <w:r>
          <w:rPr>
            <w:rStyle w:val="ListLabel2"/>
            <w:color w:val="0000FF"/>
            <w:sz w:val="24"/>
          </w:rPr>
          <w:t>абзацами девятнадцатым</w:t>
        </w:r>
      </w:hyperlink>
      <w:r>
        <w:rPr>
          <w:sz w:val="24"/>
        </w:rPr>
        <w:t xml:space="preserve"> и </w:t>
      </w:r>
      <w:hyperlink r:id="rId12" w:tgtFrame="Постановление Правительства РФ от 30.07.2004 N 395 (ред. от 07.03.2025) Об утверждении Положения о Министерстве транспорта Российской Федерации">
        <w:r>
          <w:rPr>
            <w:rStyle w:val="ListLabel2"/>
            <w:color w:val="0000FF"/>
            <w:sz w:val="24"/>
          </w:rPr>
          <w:t>тридцатым подпункта 5.2.53.8 пункта 5</w:t>
        </w:r>
      </w:hyperlink>
      <w:r>
        <w:rPr>
          <w:sz w:val="24"/>
        </w:rPr>
        <w:t xml:space="preserve"> Положения о Министерстве транспорта Российской Федерации, утвержденного постановлением Правительства Российской Федерации от 30 июля 2004 г. N 395, приказываю: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1. Утвердить:</w:t>
      </w:r>
    </w:p>
    <w:p>
      <w:pPr>
        <w:pStyle w:val="ConsPlusNormal"/>
        <w:spacing w:before="240" w:after="0"/>
        <w:ind w:firstLine="540"/>
        <w:jc w:val="both"/>
        <w:rPr/>
      </w:pPr>
      <w:hyperlink w:anchor="P40" w:tgtFrame="ПОРЯДОК">
        <w:r>
          <w:rPr>
            <w:rStyle w:val="ListLabel2"/>
            <w:color w:val="0000FF"/>
            <w:sz w:val="24"/>
          </w:rPr>
          <w:t>порядок</w:t>
        </w:r>
      </w:hyperlink>
      <w:r>
        <w:rPr>
          <w:sz w:val="24"/>
        </w:rPr>
        <w:t xml:space="preserve"> выдачи, приостановления и возобновления действия документа, подтверждающего соответствие юридического лица, индивидуального предпринимателя, осуществляющих техническое обслуживание подлежащих обязательной сертификации беспилотных авиационных систем и (или) их элементов, гражданских воздушных судов, авиационных двигателей, воздушных винтов, за исключением легких, сверхлегких гражданских воздушных судов, не осуществляющих коммерческих воздушных перевозок и авиационных работ, требованиям федеральных авиационных правил, введения ограничений в его действие и их снятия, внесения в него изменений и его аннулирования согласно приложению N 1 к настоящему приказу;</w:t>
      </w:r>
    </w:p>
    <w:p>
      <w:pPr>
        <w:pStyle w:val="ConsPlusNormal"/>
        <w:spacing w:before="240" w:after="0"/>
        <w:ind w:firstLine="540"/>
        <w:jc w:val="both"/>
        <w:rPr/>
      </w:pPr>
      <w:hyperlink w:anchor="P426" w:tgtFrame="ТРЕБОВАНИЯ">
        <w:r>
          <w:rPr>
            <w:rStyle w:val="ListLabel2"/>
            <w:color w:val="0000FF"/>
            <w:sz w:val="24"/>
          </w:rPr>
          <w:t>требования</w:t>
        </w:r>
      </w:hyperlink>
      <w:r>
        <w:rPr>
          <w:sz w:val="24"/>
        </w:rPr>
        <w:t xml:space="preserve"> к юридическим лицам, индивидуальным предпринимателям, осуществляющим техническое обслуживание подлежащих обязательной сертификации беспилотных авиационных систем и (или) их элементов, гражданских воздушных судов, авиационных двигателей, воздушных винтов, за исключением легких, сверхлегких гражданских воздушных судов, не осуществляющих коммерческих воздушных перевозок и авиационных работ, и правила технического обслуживания согласно приложению N 2 к настоящему приказу;</w:t>
      </w:r>
    </w:p>
    <w:p>
      <w:pPr>
        <w:pStyle w:val="ConsPlusNormal"/>
        <w:spacing w:before="240" w:after="0"/>
        <w:ind w:firstLine="540"/>
        <w:jc w:val="both"/>
        <w:rPr/>
      </w:pPr>
      <w:hyperlink w:anchor="P1011" w:tgtFrame="СЕРТИФИКАТ">
        <w:r>
          <w:rPr>
            <w:rStyle w:val="ListLabel2"/>
            <w:color w:val="0000FF"/>
            <w:sz w:val="24"/>
          </w:rPr>
          <w:t>форму</w:t>
        </w:r>
      </w:hyperlink>
      <w:r>
        <w:rPr>
          <w:sz w:val="24"/>
        </w:rPr>
        <w:t xml:space="preserve"> документа, подтверждающего соответствие юридического лица, индивидуального предпринимателя, осуществляющих техническое обслуживание подлежащих обязательной сертификации беспилотных авиационных систем и (или) их элементов, гражданских воздушных судов, авиационных двигателей, воздушных винтов, за исключением легких, сверхлегких гражданских воздушных судов, не осуществляющих коммерческих воздушных перевозок и авиационных работ, требованиям федеральных авиационных правил, согласно приложению N 3 к настоящему приказу.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2. Признать утратившими силу:</w:t>
      </w:r>
    </w:p>
    <w:p>
      <w:pPr>
        <w:pStyle w:val="ConsPlusNormal"/>
        <w:spacing w:before="240" w:after="0"/>
        <w:ind w:firstLine="540"/>
        <w:jc w:val="both"/>
        <w:rPr/>
      </w:pPr>
      <w:hyperlink r:id="rId13" w:tgtFrame="Приказ Минтранса России от 31.03.2023 N 109 Об утверждении Федеральных авиационных правил Требования к юридическим лицам, индивидуальным предпринимателям, осуществляющим техническое обслуживание подлежащих обязательной сертификации беспилотных авиационных систем и (или) их элементов, гражданских воздушных судов, авиационных двигателей, воздушных винтов, за исключением легких, сверхлегких гражданских воздушных судов, не осуществляющих коммерческих воздушных перевозок и авиационных работ. Форма и порядок вы ------------ Утратил силу или отменен {КонсультантПлюс}">
        <w:r>
          <w:rPr>
            <w:rStyle w:val="ListLabel2"/>
            <w:color w:val="0000FF"/>
            <w:sz w:val="24"/>
          </w:rPr>
          <w:t>приказ</w:t>
        </w:r>
      </w:hyperlink>
      <w:r>
        <w:rPr>
          <w:sz w:val="24"/>
        </w:rPr>
        <w:t xml:space="preserve"> Министерства транспорта Российской Федерации от 31 марта 2023 г. N 109 "Об утверждении Федеральных авиационных правил "Требования к юридическим лицам, индивидуальным предпринимателям, осуществляющим техническое обслуживание подлежащих обязательной сертификации беспилотных авиационных систем и (или) их элементов, гражданских воздушных судов, авиационных двигателей, воздушных винтов, за исключением легких, сверхлегких гражданских воздушных судов, не осуществляющих коммерческих воздушных перевозок и авиационных работ. Форма и порядок выдачи документа,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 и аннулирования документа, подтверждающего соответствие юридического лица, индивидуального предпринимателя требованиям федеральных авиационных правил" (зарегистрирован Министерством юстиции Российской Федерации 26 апреля 2023 г., регистрационный N 73162);</w:t>
      </w:r>
    </w:p>
    <w:p>
      <w:pPr>
        <w:pStyle w:val="ConsPlusNormal"/>
        <w:spacing w:before="240" w:after="0"/>
        <w:ind w:firstLine="540"/>
        <w:jc w:val="both"/>
        <w:rPr/>
      </w:pPr>
      <w:hyperlink r:id="rId14" w:tgtFrame="Приказ Минтранса России от 11.04.2023 N 120 Об утверждении Федеральных авиационных правил Правила технического обслуживания подлежащих обязательной сертификации беспилотных авиационных систем и (или) их элементов, гражданских воздушных судов, авиационных двигателей, воздушных винтов, за исключением легких, сверхлегких гражданских воздушных судов, не осуществляющих коммерческих воздушных перевозок и авиационных работ">
        <w:r>
          <w:rPr>
            <w:rStyle w:val="ListLabel2"/>
            <w:color w:val="0000FF"/>
            <w:sz w:val="24"/>
          </w:rPr>
          <w:t>приказ</w:t>
        </w:r>
      </w:hyperlink>
      <w:r>
        <w:rPr>
          <w:sz w:val="24"/>
        </w:rPr>
        <w:t xml:space="preserve"> Министерства транспорта Российской Федерации от 11 апреля 2023 г. N 120 "Об утверждении Федеральных авиационных правил "Правила технического обслуживания подлежащих обязательной сертификации беспилотных авиационных систем и (или) их элементов, гражданских воздушных судов, авиационных двигателей, воздушных винтов, за исключением легких, сверхлегких гражданских воздушных судов, не осуществляющих коммерческих воздушных перевозок и авиационных работ" (зарегистрирован Министерством юстиции Российской Федерации 26 апреля 2023 г., регистрационный N 73161).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 Установить, что документы, подтверждающие соответствие юридических лиц, индивидуальных предпринимателей, осуществляющих техническое обслуживание подлежащих обязательной сертификации беспилотных авиационных систем и (или) их элементов, гражданских воздушных судов, авиационных двигателей, воздушных винтов, за исключением легких, сверхлегких гражданских воздушных судов, не осуществляющих коммерческих воздушных перевозок и авиационных работ, выданные до дня вступления в силу настоящего приказа, продолжают действовать до 1 сентября 2026 г., за исключением случаев внесения в них изменений или их аннулирования.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4. Настоящий приказ вступает в силу с 1 марта 2025 г. и действует до 1 марта 2031 г.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4"/>
        </w:rPr>
        <w:t>Министр</w:t>
      </w:r>
    </w:p>
    <w:p>
      <w:pPr>
        <w:pStyle w:val="ConsPlusNormal"/>
        <w:jc w:val="right"/>
        <w:rPr/>
      </w:pPr>
      <w:r>
        <w:rPr>
          <w:sz w:val="24"/>
        </w:rPr>
        <w:t>Р.В.СТАРОВОЙТ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/>
      </w:pPr>
      <w:r>
        <w:rPr/>
      </w:r>
      <w:bookmarkStart w:id="0" w:name="P40"/>
      <w:bookmarkStart w:id="1" w:name="P40"/>
      <w:bookmarkEnd w:id="1"/>
    </w:p>
    <w:p>
      <w:pPr>
        <w:pStyle w:val="ConsPlusTitle"/>
        <w:jc w:val="center"/>
        <w:rPr>
          <w:sz w:val="24"/>
        </w:rPr>
      </w:pPr>
      <w:r>
        <w:rPr>
          <w:sz w:val="24"/>
        </w:rPr>
      </w:r>
      <w:bookmarkStart w:id="2" w:name="P40_Копия_1"/>
      <w:bookmarkStart w:id="3" w:name="P40_Копия_1"/>
      <w:bookmarkEnd w:id="3"/>
    </w:p>
    <w:p>
      <w:pPr>
        <w:pStyle w:val="ConsPlusNormal"/>
        <w:jc w:val="both"/>
        <w:rPr/>
      </w:pPr>
      <w:r>
        <w:rPr/>
      </w:r>
      <w:bookmarkStart w:id="4" w:name="P426"/>
      <w:bookmarkStart w:id="5" w:name="P426"/>
      <w:bookmarkEnd w:id="5"/>
    </w:p>
    <w:p>
      <w:pPr>
        <w:pStyle w:val="ConsPlusTitle"/>
        <w:jc w:val="center"/>
        <w:rPr/>
      </w:pPr>
      <w:bookmarkStart w:id="6" w:name="P426_Копия_1"/>
      <w:bookmarkEnd w:id="6"/>
      <w:r>
        <w:rPr>
          <w:sz w:val="24"/>
        </w:rPr>
        <w:t>ТРЕБОВАНИЯ</w:t>
      </w:r>
    </w:p>
    <w:p>
      <w:pPr>
        <w:pStyle w:val="ConsPlusTitle"/>
        <w:jc w:val="center"/>
        <w:rPr/>
      </w:pPr>
      <w:r>
        <w:rPr>
          <w:sz w:val="24"/>
        </w:rPr>
        <w:t>К ЮРИДИЧЕСКИМ ЛИЦАМ, ИНДИВИДУАЛЬНЫМ ПРЕДПРИНИМАТЕЛЯМ,</w:t>
      </w:r>
    </w:p>
    <w:p>
      <w:pPr>
        <w:pStyle w:val="ConsPlusTitle"/>
        <w:jc w:val="center"/>
        <w:rPr/>
      </w:pPr>
      <w:r>
        <w:rPr>
          <w:sz w:val="24"/>
        </w:rPr>
        <w:t>ОСУЩЕСТВЛЯЮЩИМ ТЕХНИЧЕСКОЕ ОБСЛУЖИВАНИЕ ПОДЛЕЖАЩИХ</w:t>
      </w:r>
    </w:p>
    <w:p>
      <w:pPr>
        <w:pStyle w:val="ConsPlusTitle"/>
        <w:jc w:val="center"/>
        <w:rPr/>
      </w:pPr>
      <w:r>
        <w:rPr>
          <w:sz w:val="24"/>
        </w:rPr>
        <w:t>ОБЯЗАТЕЛЬНОЙ СЕРТИФИКАЦИИ БЕСПИЛОТНЫХ АВИАЦИОННЫХ</w:t>
      </w:r>
    </w:p>
    <w:p>
      <w:pPr>
        <w:pStyle w:val="ConsPlusTitle"/>
        <w:jc w:val="center"/>
        <w:rPr/>
      </w:pPr>
      <w:r>
        <w:rPr>
          <w:sz w:val="24"/>
        </w:rPr>
        <w:t>СИСТЕМ И (ИЛИ) ИХ ЭЛЕМЕНТОВ, ГРАЖДАНСКИХ ВОЗДУШНЫХ</w:t>
      </w:r>
    </w:p>
    <w:p>
      <w:pPr>
        <w:pStyle w:val="ConsPlusTitle"/>
        <w:jc w:val="center"/>
        <w:rPr/>
      </w:pPr>
      <w:r>
        <w:rPr>
          <w:sz w:val="24"/>
        </w:rPr>
        <w:t>СУДОВ, АВИАЦИОННЫХ ДВИГАТЕЛЕЙ, ВОЗДУШНЫХ ВИНТОВ,</w:t>
      </w:r>
    </w:p>
    <w:p>
      <w:pPr>
        <w:pStyle w:val="ConsPlusTitle"/>
        <w:jc w:val="center"/>
        <w:rPr/>
      </w:pPr>
      <w:r>
        <w:rPr>
          <w:sz w:val="24"/>
        </w:rPr>
        <w:t>ЗА ИСКЛЮЧЕНИЕМ ЛЕГКИХ, СВЕРХЛЕГКИХ ГРАЖДАНСКИХ</w:t>
      </w:r>
    </w:p>
    <w:p>
      <w:pPr>
        <w:pStyle w:val="ConsPlusTitle"/>
        <w:jc w:val="center"/>
        <w:rPr/>
      </w:pPr>
      <w:r>
        <w:rPr>
          <w:sz w:val="24"/>
        </w:rPr>
        <w:t>ВОЗДУШНЫХ СУДОВ, НЕ ОСУЩЕСТВЛЯЮЩИХ КОММЕРЧЕСКИХ</w:t>
      </w:r>
    </w:p>
    <w:p>
      <w:pPr>
        <w:pStyle w:val="ConsPlusTitle"/>
        <w:jc w:val="center"/>
        <w:rPr/>
      </w:pPr>
      <w:r>
        <w:rPr>
          <w:sz w:val="24"/>
        </w:rPr>
        <w:t>ВОЗДУШНЫХ ПЕРЕВОЗОК И АВИАЦИОННЫХ РАБОТ,</w:t>
      </w:r>
    </w:p>
    <w:p>
      <w:pPr>
        <w:pStyle w:val="ConsPlusTitle"/>
        <w:jc w:val="center"/>
        <w:rPr/>
      </w:pPr>
      <w:r>
        <w:rPr>
          <w:sz w:val="24"/>
        </w:rPr>
        <w:t>И ПРАВИЛА ТЕХНИЧЕСКОГО ОБСЛУЖИВАНИЯ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highlight w:val="none"/>
          <w:shd w:fill="FFFF00" w:val="clear"/>
        </w:rPr>
      </w:pPr>
      <w:r>
        <w:rPr>
          <w:sz w:val="24"/>
          <w:shd w:fill="FFFF00" w:val="clear"/>
        </w:rPr>
        <w:t>VI. Требования к руководящему персоналу организации по ТО</w:t>
      </w:r>
    </w:p>
    <w:p>
      <w:pPr>
        <w:pStyle w:val="ConsPlusNormal"/>
        <w:jc w:val="both"/>
        <w:rPr>
          <w:highlight w:val="none"/>
          <w:shd w:fill="FFFF00" w:val="clear"/>
        </w:rPr>
      </w:pPr>
      <w:r>
        <w:rPr>
          <w:shd w:fill="FFFF00" w:val="clear"/>
        </w:rPr>
      </w:r>
      <w:bookmarkStart w:id="7" w:name="P580"/>
      <w:bookmarkStart w:id="8" w:name="P580"/>
      <w:bookmarkEnd w:id="8"/>
    </w:p>
    <w:p>
      <w:pPr>
        <w:pStyle w:val="ConsPlusNormal"/>
        <w:ind w:firstLine="540"/>
        <w:jc w:val="both"/>
        <w:rPr>
          <w:highlight w:val="none"/>
          <w:shd w:fill="FFFF00" w:val="clear"/>
        </w:rPr>
      </w:pPr>
      <w:bookmarkStart w:id="9" w:name="P580_Копия_1"/>
      <w:bookmarkEnd w:id="9"/>
      <w:r>
        <w:rPr>
          <w:sz w:val="24"/>
          <w:shd w:fill="FFFF00" w:val="clear"/>
        </w:rPr>
        <w:t>46. Организация по ТО, являющаяся юридическим лицом, должна назначить работника из числа руководителей, обладающего полномочиями, позволяющими (далее - ответственный руководитель):</w:t>
      </w:r>
      <w:bookmarkStart w:id="10" w:name="P581"/>
    </w:p>
    <w:p>
      <w:pPr>
        <w:pStyle w:val="ConsPlusNormal"/>
        <w:spacing w:before="240" w:after="0"/>
        <w:ind w:firstLine="540"/>
        <w:jc w:val="both"/>
        <w:rPr/>
      </w:pPr>
      <w:bookmarkEnd w:id="10"/>
      <w:r>
        <w:rPr>
          <w:sz w:val="24"/>
        </w:rPr>
        <w:t>1) обеспечивать финансовыми и материальными ресурсами выполнение ТО в соответствии с настоящими требованиями и правилами;</w:t>
      </w:r>
      <w:bookmarkStart w:id="11" w:name="P582"/>
    </w:p>
    <w:p>
      <w:pPr>
        <w:pStyle w:val="ConsPlusNormal"/>
        <w:spacing w:before="240" w:after="0"/>
        <w:ind w:firstLine="540"/>
        <w:jc w:val="both"/>
        <w:rPr/>
      </w:pPr>
      <w:bookmarkEnd w:id="11"/>
      <w:r>
        <w:rPr>
          <w:sz w:val="24"/>
        </w:rPr>
        <w:t xml:space="preserve">2) заключать трудовые договоры от имени организации по ТО с работниками, указанными в </w:t>
      </w:r>
      <w:hyperlink w:anchor="P587" w:tgtFrame="47. В организации по ТО, являющейся индивидуальным предпринимателем, полномочия, указанные в пункте 46 настоящих требований и правил, осуществляются индивидуальным предпринимателем самостоятельно.">
        <w:r>
          <w:rPr>
            <w:rStyle w:val="ListLabel2"/>
            <w:color w:val="0000FF"/>
            <w:sz w:val="24"/>
          </w:rPr>
          <w:t>пунктах 47</w:t>
        </w:r>
      </w:hyperlink>
      <w:r>
        <w:rPr>
          <w:sz w:val="24"/>
        </w:rPr>
        <w:t xml:space="preserve"> и </w:t>
      </w:r>
      <w:hyperlink w:anchor="P596" w:tgtFrame="51. Исходя из объема планируемых работ по ТО и разрешенных категорий и видов работ организация по ТО должна иметь в дополнение к указанному в пункте 47 настоящих требований и правил следующий руководящий персонал:">
        <w:r>
          <w:rPr>
            <w:rStyle w:val="ListLabel2"/>
            <w:color w:val="0000FF"/>
            <w:sz w:val="24"/>
          </w:rPr>
          <w:t>51</w:t>
        </w:r>
      </w:hyperlink>
      <w:r>
        <w:rPr>
          <w:sz w:val="24"/>
        </w:rPr>
        <w:t xml:space="preserve"> настоящих требований и правил, специалистами авиационного персонала гражданской авиации, работниками, обеспечивающими и контролирующими выполнение ТО, а также договоры с поставщиками компонентов, материалов, инструментов и оборудования;</w:t>
      </w:r>
    </w:p>
    <w:p>
      <w:pPr>
        <w:pStyle w:val="ConsPlusNormal"/>
        <w:spacing w:before="240" w:after="0"/>
        <w:ind w:firstLine="540"/>
        <w:jc w:val="both"/>
        <w:rPr>
          <w:highlight w:val="none"/>
          <w:shd w:fill="FFFF00" w:val="clear"/>
        </w:rPr>
      </w:pPr>
      <w:r>
        <w:rPr>
          <w:sz w:val="24"/>
          <w:shd w:fill="FFFF00" w:val="clear"/>
        </w:rPr>
        <w:t>3) внедрять и контролировать систему управления безопасностью полетов ВС &lt;12&gt; (далее - СУБП).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--------------------------------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&lt;12&gt; </w:t>
      </w:r>
      <w:hyperlink r:id="rId15" w:tgtFrame="&quot;Воздушный кодекс Российской Федерации">
        <w:r>
          <w:rPr>
            <w:rStyle w:val="ListLabel2"/>
            <w:color w:val="0000FF"/>
            <w:sz w:val="24"/>
          </w:rPr>
          <w:t>Статья 24.1</w:t>
        </w:r>
      </w:hyperlink>
      <w:r>
        <w:rPr>
          <w:sz w:val="24"/>
        </w:rPr>
        <w:t xml:space="preserve"> Воздушного кодекса Российской Федерации.</w:t>
      </w:r>
    </w:p>
    <w:p>
      <w:pPr>
        <w:pStyle w:val="ConsPlusNormal"/>
        <w:jc w:val="both"/>
        <w:rPr/>
      </w:pPr>
      <w:r>
        <w:rPr/>
      </w:r>
      <w:bookmarkStart w:id="12" w:name="P587"/>
      <w:bookmarkStart w:id="13" w:name="P587"/>
      <w:bookmarkEnd w:id="13"/>
    </w:p>
    <w:p>
      <w:pPr>
        <w:pStyle w:val="ConsPlusNormal"/>
        <w:ind w:firstLine="540"/>
        <w:jc w:val="both"/>
        <w:rPr/>
      </w:pPr>
      <w:bookmarkStart w:id="14" w:name="P587_Копия_1"/>
      <w:bookmarkEnd w:id="14"/>
      <w:r>
        <w:rPr>
          <w:sz w:val="24"/>
        </w:rPr>
        <w:t xml:space="preserve">47. В организации по ТО, являющейся индивидуальным предпринимателем, полномочия, указанные в </w:t>
      </w:r>
      <w:hyperlink w:anchor="P580" w:tgtFrame="46. Организация по ТО, являющаяся юридическим лицом, должна назначить работника из числа руководителей, обладающего полномочиями, позволяющими (далее - ответственный руководитель):">
        <w:r>
          <w:rPr>
            <w:rStyle w:val="ListLabel2"/>
            <w:color w:val="0000FF"/>
            <w:sz w:val="24"/>
          </w:rPr>
          <w:t>пункте 46</w:t>
        </w:r>
      </w:hyperlink>
      <w:r>
        <w:rPr>
          <w:sz w:val="24"/>
        </w:rPr>
        <w:t xml:space="preserve"> настоящих требований и правил, осуществляются индивидуальным предпринимателем самостоятельно.</w:t>
      </w:r>
    </w:p>
    <w:p>
      <w:pPr>
        <w:pStyle w:val="ConsPlusNormal"/>
        <w:spacing w:before="240" w:after="0"/>
        <w:ind w:firstLine="540"/>
        <w:jc w:val="both"/>
        <w:rPr>
          <w:highlight w:val="none"/>
          <w:shd w:fill="FFFF00" w:val="clear"/>
        </w:rPr>
      </w:pPr>
      <w:r>
        <w:rPr>
          <w:sz w:val="24"/>
          <w:shd w:fill="FFFF00" w:val="clear"/>
        </w:rPr>
        <w:t>48. Организация по ТО должна назначить работников (для юридического лица из числа руководителей) (далее - руководящий персонал), ответственный за: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1) планирование и организацию ТО;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2) функционирование системы обеспечения качества ТО, реализацию мероприятий по обеспечению качества ТО и информирование ответственного руководителя о проблемах обеспечения качества ТО;</w:t>
      </w:r>
    </w:p>
    <w:p>
      <w:pPr>
        <w:pStyle w:val="ConsPlusNormal"/>
        <w:spacing w:before="240" w:after="0"/>
        <w:ind w:firstLine="540"/>
        <w:jc w:val="both"/>
        <w:rPr>
          <w:highlight w:val="none"/>
          <w:shd w:fill="FFFF00" w:val="clear"/>
        </w:rPr>
      </w:pPr>
      <w:r>
        <w:rPr>
          <w:sz w:val="24"/>
          <w:shd w:fill="FFFF00" w:val="clear"/>
        </w:rPr>
        <w:t>3) управление, разработку и реализацию СУБП.</w:t>
      </w:r>
    </w:p>
    <w:p>
      <w:pPr>
        <w:pStyle w:val="ConsPlusNormal"/>
        <w:spacing w:before="240" w:after="0"/>
        <w:ind w:hanging="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/>
      </w:pPr>
      <w:r>
        <w:rPr/>
      </w:r>
      <w:bookmarkStart w:id="15" w:name="P611"/>
      <w:bookmarkStart w:id="16" w:name="P611"/>
      <w:bookmarkEnd w:id="16"/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/>
      </w:pPr>
      <w:bookmarkStart w:id="17" w:name="P611_Копия_1"/>
      <w:bookmarkEnd w:id="17"/>
      <w:r>
        <w:rPr>
          <w:sz w:val="24"/>
        </w:rPr>
        <w:t>VII. Требования к персоналу организации по ТО, выполняющему</w:t>
      </w:r>
    </w:p>
    <w:p>
      <w:pPr>
        <w:pStyle w:val="ConsPlusTitle"/>
        <w:jc w:val="center"/>
        <w:rPr/>
      </w:pPr>
      <w:r>
        <w:rPr>
          <w:sz w:val="24"/>
        </w:rPr>
        <w:t>ТО ВС, и его подготовке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  <w:bookmarkStart w:id="18" w:name="P621"/>
      <w:bookmarkStart w:id="19" w:name="P621"/>
      <w:bookmarkEnd w:id="19"/>
    </w:p>
    <w:p>
      <w:pPr>
        <w:pStyle w:val="ConsPlusNormal"/>
        <w:spacing w:before="240" w:after="0"/>
        <w:ind w:firstLine="540"/>
        <w:jc w:val="both"/>
        <w:rPr/>
      </w:pPr>
      <w:bookmarkStart w:id="20" w:name="P621_Копия_1"/>
      <w:bookmarkEnd w:id="20"/>
      <w:r>
        <w:rPr>
          <w:sz w:val="24"/>
          <w:shd w:fill="FFFF00" w:val="clear"/>
        </w:rPr>
        <w:t xml:space="preserve">55. Организация по ТО должна организовать и по своему выбору самостоятельно или в организациях, осуществляющих обучение специалистов соответствующего уровня согласно перечням специалистов авиационного персонала &lt;14&gt;, проводить периодическую подготовку (авиационно-техническую подготовку) персонала организации по ТО, выполняющего ТО ВС, по разработанной организацией по ТО и утвержденной уполномоченным органом в порядке, установленном </w:t>
      </w:r>
      <w:hyperlink w:anchor="P695" w:tgtFrame="XI. Порядок утверждения уполномоченным органом программ">
        <w:r>
          <w:rPr>
            <w:rStyle w:val="ListLabel3"/>
            <w:color w:val="0000FF"/>
            <w:sz w:val="24"/>
            <w:shd w:fill="FFFF00" w:val="clear"/>
          </w:rPr>
          <w:t>главой XI</w:t>
        </w:r>
      </w:hyperlink>
      <w:r>
        <w:rPr>
          <w:sz w:val="24"/>
          <w:shd w:fill="FFFF00" w:val="clear"/>
        </w:rPr>
        <w:t xml:space="preserve"> настоящих требований и правил, программе подготовки, направленной на получение знаний по следующим направлениям: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--------------------------------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&lt;14&gt; </w:t>
      </w:r>
      <w:hyperlink r:id="rId16" w:tgtFrame="&quot;Воздушный кодекс Российской Федерации">
        <w:r>
          <w:rPr>
            <w:rStyle w:val="ListLabel2"/>
            <w:color w:val="0000FF"/>
            <w:sz w:val="24"/>
          </w:rPr>
          <w:t>Пункт 3 статьи 8</w:t>
        </w:r>
      </w:hyperlink>
      <w:r>
        <w:rPr>
          <w:sz w:val="24"/>
        </w:rPr>
        <w:t xml:space="preserve"> Воздушного кодекса Российской Федерации.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1) изменения в процедурах организации по ТО и внутренних локальных нормативных актах;</w:t>
      </w:r>
    </w:p>
    <w:p>
      <w:pPr>
        <w:pStyle w:val="ConsPlusNormal"/>
        <w:spacing w:before="240" w:after="0"/>
        <w:ind w:firstLine="540"/>
        <w:jc w:val="both"/>
        <w:rPr>
          <w:highlight w:val="none"/>
          <w:shd w:fill="FFFF00" w:val="clear"/>
        </w:rPr>
      </w:pPr>
      <w:r>
        <w:rPr>
          <w:sz w:val="24"/>
          <w:shd w:fill="FFFF00" w:val="clear"/>
        </w:rPr>
        <w:t>2) изменения в воздушном законодательстве Российской Федерации, в СУБП;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3) выявленные за прошедший период со дня проведения предыдущей подготовки персонала организации по ТО нарушения по результатам внутренних проверок организации по ТО и контроля выполнения ТО, корректирующие и превентивные мероприятия, направленные на их устранение, вновь выявленные риски и факторы опасности, включая результаты контрольных (надзорных) мероприятий, проводимых уполномоченным органом по надзору, проблемы, связанные с человеческим фактором, неточности технической документации;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4) изменения эксплуатационной документации, включая особенности выполнения ТО, в том числе особенности выполнения работ по ТО в весенне-летний и осенне-зимний периоды, повторные отказы и отказы, метод устранения которых не указан в эксплуатационной документации, для обслуживаемых организацией по ТО типов ВС, а также применимые директивы летной годности &lt;15&gt;.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--------------------------------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&lt;15&gt; </w:t>
      </w:r>
      <w:hyperlink r:id="rId17" w:tgtFrame="Приказ Минтранса России от 17.06.2019 N 184 (ред. от 29.05.2023) Об утверждении Федеральных авиационных правил Сертификация авиационной техники, организаций разработчиков и изготовителей. Часть 21">
        <w:r>
          <w:rPr>
            <w:rStyle w:val="ListLabel2"/>
            <w:color w:val="0000FF"/>
            <w:sz w:val="24"/>
          </w:rPr>
          <w:t>Пункт 21.10</w:t>
        </w:r>
      </w:hyperlink>
      <w:r>
        <w:rPr>
          <w:sz w:val="24"/>
        </w:rPr>
        <w:t xml:space="preserve"> ФАП-21.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  <w:bookmarkStart w:id="21" w:name="P632"/>
      <w:bookmarkStart w:id="22" w:name="P632"/>
      <w:bookmarkEnd w:id="22"/>
    </w:p>
    <w:p>
      <w:pPr>
        <w:pStyle w:val="ConsPlusNormal"/>
        <w:jc w:val="both"/>
        <w:rPr/>
      </w:pPr>
      <w:r>
        <w:rPr/>
      </w:r>
      <w:bookmarkStart w:id="23" w:name="P637"/>
      <w:bookmarkStart w:id="24" w:name="P637"/>
      <w:bookmarkEnd w:id="24"/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/>
      </w:pPr>
      <w:bookmarkStart w:id="25" w:name="P637_Копия_1"/>
      <w:bookmarkEnd w:id="25"/>
      <w:r>
        <w:rPr>
          <w:sz w:val="24"/>
        </w:rPr>
        <w:t>VIII. Требования к персоналу, выполняющему ТО двигателей,</w:t>
      </w:r>
    </w:p>
    <w:p>
      <w:pPr>
        <w:pStyle w:val="ConsPlusTitle"/>
        <w:jc w:val="center"/>
        <w:rPr/>
      </w:pPr>
      <w:r>
        <w:rPr>
          <w:sz w:val="24"/>
        </w:rPr>
        <w:t>ВСУ, воздушных винтов и компонентов, не установленных на ВС,</w:t>
      </w:r>
    </w:p>
    <w:p>
      <w:pPr>
        <w:pStyle w:val="ConsPlusTitle"/>
        <w:jc w:val="center"/>
        <w:rPr/>
      </w:pPr>
      <w:r>
        <w:rPr>
          <w:sz w:val="24"/>
        </w:rPr>
        <w:t>и его подготовке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61.</w:t>
      </w:r>
      <w:r>
        <w:rPr>
          <w:sz w:val="24"/>
          <w:shd w:fill="FFFF00" w:val="clear"/>
        </w:rPr>
        <w:t xml:space="preserve"> Организация по ТО должна организовать и проводить самостоятельно либо в организациях, осуществляющих обучение специалистов соответствующего уровня согласно перечням специалистов авиационного персонала, либо в организации по ТО, имеющей в приложении к сертификату разрешение на обслуживание определенных компонентов, либо в организации, являющейся изготовителем обслуживаемых компонентов, периодическую подготовку (авиационно-техническую подготовку) персонала, выполняющего ТО компонентов, снятых с ВС, не реже одного раза в два года по программе подготовки, утвержденной организацией по ТО, и направленной на получение знаний по следующим направлениям: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1) изменения в процедурах организации по ТО и внутренних локальных нормативных актах;</w:t>
      </w:r>
    </w:p>
    <w:p>
      <w:pPr>
        <w:pStyle w:val="ConsPlusNormal"/>
        <w:spacing w:before="240" w:after="0"/>
        <w:ind w:firstLine="540"/>
        <w:jc w:val="both"/>
        <w:rPr>
          <w:highlight w:val="none"/>
          <w:shd w:fill="FFFF00" w:val="clear"/>
        </w:rPr>
      </w:pPr>
      <w:r>
        <w:rPr>
          <w:sz w:val="24"/>
          <w:shd w:fill="FFFF00" w:val="clear"/>
        </w:rPr>
        <w:t>2) изменения в воздушном законодательстве Российской Федерации, СУБП;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3) выявленные нарушения и корректирующие и превентивные мероприятия, вновь выявленные риски и факторы опасности, включая результаты контрольных (надзорных) мероприятий, проводимых уполномоченным органом по надзору;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4) изменения эксплуатационной документации, включая особенности выполнения ТО, характерные неисправности и методы их устранения для обслуживаемых организацией по ТО двигателя, ВСУ, воздушного винта, компонента ВС, а также применимые директивы летной годности;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5) рассмотрение и изучение выявленных за прошедший период со дня проведения предыдущей подготовки проблем, связанных с человеческим фактором, с нарушением установленных правил и процедур, неточностей технической документации.</w:t>
      </w:r>
    </w:p>
    <w:p>
      <w:pPr>
        <w:pStyle w:val="ConsPlusNormal"/>
        <w:jc w:val="both"/>
        <w:rPr/>
      </w:pPr>
      <w:r>
        <w:rPr/>
      </w:r>
      <w:bookmarkStart w:id="26" w:name="P657"/>
      <w:bookmarkStart w:id="27" w:name="P657"/>
      <w:bookmarkEnd w:id="27"/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/>
      </w:pPr>
      <w:bookmarkStart w:id="28" w:name="P657_Копия_1"/>
      <w:bookmarkEnd w:id="28"/>
      <w:r>
        <w:rPr>
          <w:sz w:val="24"/>
        </w:rPr>
        <w:t>IX. Требования к персоналу, выполняющему работы</w:t>
      </w:r>
    </w:p>
    <w:p>
      <w:pPr>
        <w:pStyle w:val="ConsPlusTitle"/>
        <w:jc w:val="center"/>
        <w:rPr/>
      </w:pPr>
      <w:r>
        <w:rPr>
          <w:sz w:val="24"/>
        </w:rPr>
        <w:t>по обеспечению ТО, специальные работы, и его подготовке</w:t>
      </w:r>
    </w:p>
    <w:p>
      <w:pPr>
        <w:pStyle w:val="ConsPlusTitle"/>
        <w:jc w:val="center"/>
        <w:rPr/>
      </w:pPr>
      <w:r>
        <w:rPr>
          <w:sz w:val="24"/>
        </w:rPr>
        <w:t>организацией по ТО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62. Персонал (в том числе не имеющий свидетельства специалиста авиационного персонала) должен допускаться к выполнению работ по обеспечению ТО и специальных работ, включая неразрушающий контроль элементов конструкции ВС, двигателей, воздушных винтов, ВСУ, компонентов, сварку, при соответствии следующим требованиям: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1) персонал понимает эксплуатационную документацию обслуживаемых ВС, двигателей, ВСУ, воздушных винтов, компонентов на языке, на котором ее утвердил разработчик;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2) персонал соответствует требованиям, установленным в эксплуатационной документации и предъявляемым к такому персоналу (при наличии);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3) персонал прошел первоначальную подготовку и подтвердил знание внутренних процедур и локальных нормативных актов организации по ТО по утвержденной организацией по ТО программе подготовки;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4) персонал прошел подготовку по утвержденной организацией по ТО программе подготовки, включающую теоретические и практические занятия по выполнению конкретных работ (для персонала, выполняющего работы по обеспечению ТО).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6</w:t>
      </w:r>
      <w:r>
        <w:rPr>
          <w:sz w:val="24"/>
          <w:shd w:fill="FFFF00" w:val="clear"/>
        </w:rPr>
        <w:t>3. Организация по ТО должна организовать и самостоятельно проводить не реже одного раза в два года периодическую подготовку персонала, выполняющего работы по обеспечению ТО и специальные работы, по утвержденной в организации по ТО программе подготовки, и направленной на получение знаний по следующим направлениям: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1) изменения в Руководстве организации по ТО;</w:t>
      </w:r>
    </w:p>
    <w:p>
      <w:pPr>
        <w:pStyle w:val="ConsPlusNormal"/>
        <w:spacing w:before="240" w:after="0"/>
        <w:ind w:firstLine="540"/>
        <w:jc w:val="both"/>
        <w:rPr>
          <w:highlight w:val="none"/>
          <w:shd w:fill="FFFF00" w:val="clear"/>
        </w:rPr>
      </w:pPr>
      <w:r>
        <w:rPr>
          <w:sz w:val="24"/>
          <w:shd w:fill="FFFF00" w:val="clear"/>
        </w:rPr>
        <w:t>2) изменения в воздушном законодательстве Российской Федерации, СУБП;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3) выявленные нарушения и корректирующие мероприятия, включая результаты контрольных (надзорных) мероприятий, проводимых уполномоченным органом по надзору;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4) изменения эксплуатационной документации, особенности выполнения ТО, в том числе характерные отказы и неисправности ВС, обслуживаемых двигателей, ВСУ, воздушных винтов, компонентов, использования оборудования и инструментов;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5) рассмотрение и изучение выявленных за прошедший период со дня проведения предыдущей подготовки проблем, связанных с человеческим фактором, с нарушением установленных правил и процедур, неточностей технической документации.</w:t>
      </w:r>
    </w:p>
    <w:p>
      <w:pPr>
        <w:pStyle w:val="ConsPlusNormal"/>
        <w:spacing w:before="240" w:after="0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highlight w:val="none"/>
          <w:shd w:fill="FFFF00" w:val="clear"/>
        </w:rPr>
      </w:pPr>
      <w:r>
        <w:rPr>
          <w:sz w:val="24"/>
          <w:shd w:fill="FFFF00" w:val="clear"/>
        </w:rPr>
        <w:t>XVI. Организация СУБП и системы обеспечения качества ТО</w:t>
      </w:r>
    </w:p>
    <w:p>
      <w:pPr>
        <w:pStyle w:val="ConsPlusNormal"/>
        <w:jc w:val="both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ConsPlusNormal"/>
        <w:ind w:firstLine="540"/>
        <w:jc w:val="both"/>
        <w:rPr>
          <w:highlight w:val="none"/>
          <w:shd w:fill="FFFF00" w:val="clear"/>
        </w:rPr>
      </w:pPr>
      <w:r>
        <w:rPr>
          <w:sz w:val="24"/>
          <w:shd w:fill="FFFF00" w:val="clear"/>
        </w:rPr>
        <w:t>96. Организация по ТО должна определить политику &lt;17&gt; в области управления безопасностью полетами и обеспечения качества ТО организации по ТО, содержащую:</w:t>
      </w:r>
    </w:p>
    <w:p>
      <w:pPr>
        <w:pStyle w:val="ConsPlusNormal"/>
        <w:spacing w:before="240" w:after="0"/>
        <w:ind w:firstLine="540"/>
        <w:jc w:val="both"/>
        <w:rPr>
          <w:highlight w:val="none"/>
          <w:shd w:fill="FFFF00" w:val="clear"/>
        </w:rPr>
      </w:pPr>
      <w:r>
        <w:rPr>
          <w:sz w:val="24"/>
          <w:shd w:fill="FFFF00" w:val="clear"/>
        </w:rPr>
        <w:t>--------------------------------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  <w:shd w:fill="FFFF00" w:val="clear"/>
        </w:rPr>
        <w:t xml:space="preserve">&lt;17&gt; Добавление 2 к приложению 19 "Управление безопасностью полетов" к </w:t>
      </w:r>
      <w:hyperlink r:id="rId18" w:tgtFrame="&quot;Конвенция о международной гражданской авиации">
        <w:r>
          <w:rPr>
            <w:rStyle w:val="ListLabel3"/>
            <w:color w:val="0000FF"/>
            <w:sz w:val="24"/>
            <w:shd w:fill="FFFF00" w:val="clear"/>
          </w:rPr>
          <w:t>Конвенции</w:t>
        </w:r>
      </w:hyperlink>
      <w:r>
        <w:rPr>
          <w:sz w:val="24"/>
          <w:shd w:fill="FFFF00" w:val="clear"/>
        </w:rPr>
        <w:t>.</w:t>
      </w:r>
    </w:p>
    <w:p>
      <w:pPr>
        <w:pStyle w:val="ConsPlusNormal"/>
        <w:jc w:val="both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ConsPlusNormal"/>
        <w:ind w:firstLine="540"/>
        <w:jc w:val="both"/>
        <w:rPr>
          <w:highlight w:val="none"/>
          <w:shd w:fill="FFFF00" w:val="clear"/>
        </w:rPr>
      </w:pPr>
      <w:r>
        <w:rPr>
          <w:sz w:val="24"/>
          <w:shd w:fill="FFFF00" w:val="clear"/>
        </w:rPr>
        <w:t>1) обязательство организации по ТО по обеспечению безопасности полетов &lt;18&gt;;</w:t>
      </w:r>
    </w:p>
    <w:p>
      <w:pPr>
        <w:pStyle w:val="ConsPlusNormal"/>
        <w:spacing w:before="240" w:after="0"/>
        <w:ind w:firstLine="540"/>
        <w:jc w:val="both"/>
        <w:rPr>
          <w:highlight w:val="none"/>
          <w:shd w:fill="FFFF00" w:val="clear"/>
        </w:rPr>
      </w:pPr>
      <w:r>
        <w:rPr>
          <w:sz w:val="24"/>
          <w:shd w:fill="FFFF00" w:val="clear"/>
        </w:rPr>
        <w:t>--------------------------------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  <w:shd w:fill="FFFF00" w:val="clear"/>
        </w:rPr>
        <w:t xml:space="preserve">&lt;18&gt; </w:t>
      </w:r>
      <w:hyperlink r:id="rId19" w:tgtFrame="Постановление Правительства РФ от 12.04.2022 N 642 Об утверждении Правил разработки и применения систем управления безопасностью полетов воздушных судов, а также сбора и анализа данных о факторах опасности и риска, создающих угрозу безопасности полетов гражданских воздушных судов, хранения этих данных и обмена ими в соответствии с международными стандартами Международной организации гражданской авиации и признании утратившими силу некоторых актов Правительства Российской Федерации">
        <w:r>
          <w:rPr>
            <w:rStyle w:val="ListLabel3"/>
            <w:color w:val="0000FF"/>
            <w:sz w:val="24"/>
            <w:shd w:fill="FFFF00" w:val="clear"/>
          </w:rPr>
          <w:t>Пункт 2</w:t>
        </w:r>
      </w:hyperlink>
      <w:r>
        <w:rPr>
          <w:sz w:val="24"/>
          <w:shd w:fill="FFFF00" w:val="clear"/>
        </w:rPr>
        <w:t xml:space="preserve"> Правил разработки и применения систем управления безопасностью полетов воздушных судов, а также сбора и анализа данных о факторах опасности и риска, создающих угрозу безопасности полетов гражданских воздушных судов, хранения этих данных и обмена ими в соответствии с международными стандартами международной организации гражданской авиации, утвержденных постановлением Правительства Российской Федерации от 12 апреля 2022 г. N 642 (далее соответственно - Правила N 642, постановление N 642). В соответствии с </w:t>
      </w:r>
      <w:hyperlink r:id="rId20" w:tgtFrame="Постановление Правительства РФ от 12.04.2022 N 642 Об утверждении Правил разработки и применения систем управления безопасностью полетов воздушных судов, а также сбора и анализа данных о факторах опасности и риска, создающих угрозу безопасности полетов гражданских воздушных судов, хранения этих данных и обмена ими в соответствии с международными стандартами Международной организации гражданской авиации и признании утратившими силу некоторых актов Правительства Российской Федерации">
        <w:r>
          <w:rPr>
            <w:rStyle w:val="ListLabel3"/>
            <w:color w:val="0000FF"/>
            <w:sz w:val="24"/>
            <w:shd w:fill="FFFF00" w:val="clear"/>
          </w:rPr>
          <w:t>пунктом 4</w:t>
        </w:r>
      </w:hyperlink>
      <w:r>
        <w:rPr>
          <w:sz w:val="24"/>
          <w:shd w:fill="FFFF00" w:val="clear"/>
        </w:rPr>
        <w:t xml:space="preserve"> постановления N 642 Правила N 642 действуют до 1 сентября 2028 г.</w:t>
      </w:r>
    </w:p>
    <w:p>
      <w:pPr>
        <w:pStyle w:val="ConsPlusNormal"/>
        <w:jc w:val="both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ConsPlusNormal"/>
        <w:ind w:firstLine="540"/>
        <w:jc w:val="both"/>
        <w:rPr>
          <w:highlight w:val="none"/>
          <w:shd w:fill="FFFF00" w:val="clear"/>
        </w:rPr>
      </w:pPr>
      <w:r>
        <w:rPr>
          <w:sz w:val="24"/>
          <w:shd w:fill="FFFF00" w:val="clear"/>
        </w:rPr>
        <w:t>2) заявление о предоставлении ресурсов, необходимых для реализации политики в области безопасности полетов;</w:t>
      </w:r>
    </w:p>
    <w:p>
      <w:pPr>
        <w:pStyle w:val="ConsPlusNormal"/>
        <w:spacing w:before="240" w:after="0"/>
        <w:ind w:firstLine="540"/>
        <w:jc w:val="both"/>
        <w:rPr>
          <w:highlight w:val="none"/>
          <w:shd w:fill="FFFF00" w:val="clear"/>
        </w:rPr>
      </w:pPr>
      <w:r>
        <w:rPr>
          <w:sz w:val="24"/>
          <w:shd w:fill="FFFF00" w:val="clear"/>
        </w:rPr>
        <w:t>3) обязательства по отчетности в области безопасности полетов;</w:t>
      </w:r>
    </w:p>
    <w:p>
      <w:pPr>
        <w:pStyle w:val="ConsPlusNormal"/>
        <w:spacing w:before="240" w:after="0"/>
        <w:ind w:firstLine="540"/>
        <w:jc w:val="both"/>
        <w:rPr>
          <w:highlight w:val="none"/>
          <w:shd w:fill="FFFF00" w:val="clear"/>
        </w:rPr>
      </w:pPr>
      <w:r>
        <w:rPr>
          <w:sz w:val="24"/>
          <w:shd w:fill="FFFF00" w:val="clear"/>
        </w:rPr>
        <w:t>4) виды поведения при выполнении ТО, которые являются недопустимыми, и обстоятельства, при которых не будут приниматься дисциплинарные меры.</w:t>
      </w:r>
    </w:p>
    <w:p>
      <w:pPr>
        <w:pStyle w:val="ConsPlusNormal"/>
        <w:spacing w:before="240" w:after="0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>
          <w:highlight w:val="none"/>
          <w:shd w:fill="FFFF00" w:val="clear"/>
        </w:rPr>
      </w:pPr>
      <w:r>
        <w:rPr>
          <w:sz w:val="24"/>
          <w:shd w:fill="FFFF00" w:val="clear"/>
        </w:rPr>
        <w:t>XVII. Требования к структуре и содержанию Руководства</w:t>
      </w:r>
    </w:p>
    <w:p>
      <w:pPr>
        <w:pStyle w:val="ConsPlusTitle"/>
        <w:jc w:val="center"/>
        <w:rPr>
          <w:highlight w:val="none"/>
          <w:shd w:fill="FFFF00" w:val="clear"/>
        </w:rPr>
      </w:pPr>
      <w:r>
        <w:rPr>
          <w:sz w:val="24"/>
          <w:shd w:fill="FFFF00" w:val="clear"/>
        </w:rPr>
        <w:t>и его согласованию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  <w:bookmarkStart w:id="29" w:name="P846"/>
      <w:bookmarkStart w:id="30" w:name="P846"/>
      <w:bookmarkEnd w:id="30"/>
    </w:p>
    <w:p>
      <w:pPr>
        <w:pStyle w:val="ConsPlusNormal"/>
        <w:spacing w:before="240" w:after="0"/>
        <w:ind w:firstLine="540"/>
        <w:jc w:val="both"/>
        <w:rPr>
          <w:highlight w:val="none"/>
          <w:shd w:fill="FFFF00" w:val="clear"/>
        </w:rPr>
      </w:pPr>
      <w:bookmarkStart w:id="31" w:name="P846_Копия_1"/>
      <w:bookmarkEnd w:id="31"/>
      <w:r>
        <w:rPr>
          <w:sz w:val="24"/>
          <w:shd w:fill="FFFF00" w:val="clear"/>
        </w:rPr>
        <w:t>113. Часть 3 "Процедуры обеспечения и контроля качества, обеспечения безопасности полетов" Руководства должна содержать в том числе: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1) описание процедуры планирования, организации, проведения внутренних проверок в организации по ТО, включая методы и периодичность их проведения;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2) описание процедуры доклада результатов внутренних проверок руководящему персоналу;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3) описание процедуры разработки, выполнения и контроля выполнения корректирующих мероприятий;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4) описание процедуры контроля качества ТО;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5) описание процедуры отнесения работ по ТО к особо ответственным работам и контроля таких работ;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6) описание процедуры планирования, организации и учета подготовки персонала организации по ТО, внесения изменений в программы подготовки персонала организации по ТО исходя из человеческого фактора, с указанием требований к персоналу организации по ТО и порядка оценки его квалификации;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7) описание процедуры учета подтверждающего персонала организации по ТО, контроля сроков действия его полномочий, получения и продления указанных полномочий, их приостановления и снятия;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8) порядок предоставления персоналу организации по ТО права выполнения работ по обеспечению ТО и специальных видов работ;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9) описание процедур подготовки персонала организации по ТО непосредственно участвующего в процессах планирования ТО, логистического, складского, производственного обеспечения ТО;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10) порядок подготовки и допуска внутренних аудиторов и требования к их квалификации и подготовке;</w:t>
      </w:r>
    </w:p>
    <w:p>
      <w:pPr>
        <w:pStyle w:val="ConsPlusNormal"/>
        <w:spacing w:before="240" w:after="0"/>
        <w:ind w:firstLine="540"/>
        <w:jc w:val="both"/>
        <w:rPr>
          <w:highlight w:val="none"/>
          <w:shd w:fill="FFFF00" w:val="clear"/>
        </w:rPr>
      </w:pPr>
      <w:r>
        <w:rPr>
          <w:sz w:val="24"/>
          <w:shd w:fill="FFFF00" w:val="clear"/>
        </w:rPr>
        <w:t>11) описание процедур ознакомления персонала организации по ТО: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 изменениями во внутренних документах организации по ТО;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 изменениями в воздушном законодательстве Российской Федерации, в управлении безопасностью деятельности организации, включая безопасность полетов;</w:t>
      </w:r>
    </w:p>
    <w:p>
      <w:pPr>
        <w:pStyle w:val="ConsPlusNormal"/>
        <w:spacing w:before="240" w:after="0"/>
        <w:ind w:firstLine="540"/>
        <w:jc w:val="both"/>
        <w:rPr>
          <w:highlight w:val="none"/>
          <w:shd w:fill="FFFF00" w:val="clear"/>
        </w:rPr>
      </w:pPr>
      <w:r>
        <w:rPr>
          <w:sz w:val="24"/>
          <w:shd w:fill="FFFF00" w:val="clear"/>
        </w:rPr>
        <w:t>с результатами работы системы обеспечения качества ТО и СУБП организации по ТО, в том числе замечаниями внутренних проверок, внешних проверок, осуществляемых уполномоченным органом, уполномоченным органом по надзору или заказчиком (эксплуатантом), основными выявленными нарушениями и мероприятиями, направленными на их предотвращение, существующими и вновь выявленными факторами опасности и риска;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 изменениями в Руководстве;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 изменениями специальных процедур организации по ТО, связанных со спецификой текущей деятельности персонала организации по ТО;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 изменениями стандартов и процедур ТО АТ (эксплуатационной документации), включая особенности выполнения ТО, повторные отказы и отказы, метод устранения которых не указан в эксплуатационной документации, для эксплуатируемых типов ВС;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с выявленными за прошедший период со дня проведения предыдущего аналогичного ознакомления проблемами, связанными с человеческим фактором, с нарушением установленных в Руководстве и внутренней документации организации по ТО правил и процедур, проблемами технической документации, использования оборудования, установленными на основании анализа известных инцидентов, как внутри организации по ТО, так и за ее пределами;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12) описание процедур контроля качества работ по ТО на ВС, выполняемых привлекаемыми организациями;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13) описание процедур функционирования СУБП, анализа и оценки факторов опасности и риска, разработки мероприятий, направленных на их предотвращение, которые могут быть оформлены отдельно от Руководства.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>
          <w:sz w:val="2"/>
          <w:szCs w:val="2"/>
        </w:rPr>
      </w:pPr>
      <w:r>
        <w:rPr>
          <w:sz w:val="2"/>
          <w:szCs w:val="2"/>
        </w:rPr>
      </w:r>
    </w:p>
    <w:sectPr>
      <w:headerReference w:type="default" r:id="rId21"/>
      <w:headerReference w:type="first" r:id="rId22"/>
      <w:footerReference w:type="default" r:id="rId23"/>
      <w:footerReference w:type="first" r:id="rId24"/>
      <w:type w:val="nextPage"/>
      <w:pgSz w:w="11906" w:h="16838"/>
      <w:pgMar w:left="1133" w:right="566" w:gutter="0" w:header="0" w:top="1440" w:footer="0" w:bottom="144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5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9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9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5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9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Приказ Минтранса России от 18.10.2024 N 367</w:t>
            <w:br/>
            <w:t>"Об утверждении Федеральных авиационных правил "Техническое обслуживание под...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4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Приказ Минтранса России от 18.10.2024 N 367</w:t>
            <w:br/>
            <w:t>"Об утверждении Федеральных авиационных правил "Техническое обслуживание под...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4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Lohit Devanagari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ahoma" w:cs="Lohit Devanagari"/>
      <w:color w:val="auto"/>
      <w:kern w:val="2"/>
      <w:sz w:val="22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default="1" w:customStyle="1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Times New Roman"/>
      <w:color w:val="auto"/>
      <w:kern w:val="2"/>
      <w:sz w:val="24"/>
      <w:szCs w:val="24"/>
      <w:lang w:val="ru-RU" w:eastAsia="zh-CN" w:bidi="hi-IN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ahoma" w:cs="Courier New"/>
      <w:color w:val="auto"/>
      <w:kern w:val="2"/>
      <w:sz w:val="20"/>
      <w:szCs w:val="24"/>
      <w:lang w:val="ru-RU" w:eastAsia="zh-CN" w:bidi="hi-IN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ahoma" w:cs="Arial"/>
      <w:b/>
      <w:color w:val="auto"/>
      <w:kern w:val="2"/>
      <w:sz w:val="24"/>
      <w:szCs w:val="24"/>
      <w:lang w:val="ru-RU" w:eastAsia="zh-CN" w:bidi="hi-IN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ahoma" w:cs="Courier New"/>
      <w:color w:val="auto"/>
      <w:kern w:val="2"/>
      <w:sz w:val="20"/>
      <w:szCs w:val="24"/>
      <w:lang w:val="ru-RU" w:eastAsia="zh-CN" w:bidi="hi-IN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ahoma" w:cs="Tahoma"/>
      <w:color w:val="auto"/>
      <w:kern w:val="2"/>
      <w:sz w:val="18"/>
      <w:szCs w:val="24"/>
      <w:lang w:val="ru-RU" w:eastAsia="zh-CN" w:bidi="hi-IN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ahoma" w:cs="Tahoma"/>
      <w:color w:val="auto"/>
      <w:kern w:val="2"/>
      <w:sz w:val="20"/>
      <w:szCs w:val="24"/>
      <w:lang w:val="ru-RU" w:eastAsia="zh-CN" w:bidi="hi-IN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ahoma" w:cs="Tahoma"/>
      <w:color w:val="auto"/>
      <w:kern w:val="2"/>
      <w:sz w:val="26"/>
      <w:szCs w:val="24"/>
      <w:lang w:val="ru-RU" w:eastAsia="zh-CN" w:bidi="hi-IN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Times New Roman"/>
      <w:color w:val="auto"/>
      <w:kern w:val="2"/>
      <w:sz w:val="24"/>
      <w:szCs w:val="24"/>
      <w:lang w:val="ru-RU" w:eastAsia="zh-CN" w:bidi="hi-IN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yperlink" Target="./%7B&#1050;&#1086;&#1085;&#1089;&#1091;&#1083;&#1100;&#1090;&#1072;&#1085;&#1090;&#1055;&#1083;&#1102;&#1089;%7D" TargetMode="External"/><Relationship Id="rId6" Type="http://schemas.openxmlformats.org/officeDocument/2006/relationships/hyperlink" Target="./%7B&#1050;&#1086;&#1085;&#1089;&#1091;&#1083;&#1100;&#1090;&#1072;&#1085;&#1090;&#1055;&#1083;&#1102;&#1089;%7D" TargetMode="External"/><Relationship Id="rId7" Type="http://schemas.openxmlformats.org/officeDocument/2006/relationships/hyperlink" Target="./%7B&#1050;&#1086;&#1085;&#1089;&#1091;&#1083;&#1100;&#1090;&#1072;&#1085;&#1090;&#1055;&#1083;&#1102;&#1089;%7D" TargetMode="External"/><Relationship Id="rId8" Type="http://schemas.openxmlformats.org/officeDocument/2006/relationships/hyperlink" Target="./%7B&#1050;&#1086;&#1085;&#1089;&#1091;&#1083;&#1100;&#1090;&#1072;&#1085;&#1090;&#1055;&#1083;&#1102;&#1089;%7D" TargetMode="External"/><Relationship Id="rId9" Type="http://schemas.openxmlformats.org/officeDocument/2006/relationships/hyperlink" Target="./%7B&#1050;&#1086;&#1085;&#1089;&#1091;&#1083;&#1100;&#1090;&#1072;&#1085;&#1090;&#1055;&#1083;&#1102;&#1089;%7D" TargetMode="External"/><Relationship Id="rId10" Type="http://schemas.openxmlformats.org/officeDocument/2006/relationships/hyperlink" Target="./%7B&#1050;&#1086;&#1085;&#1089;&#1091;&#1083;&#1100;&#1090;&#1072;&#1085;&#1090;&#1055;&#1083;&#1102;&#1089;%7D" TargetMode="External"/><Relationship Id="rId11" Type="http://schemas.openxmlformats.org/officeDocument/2006/relationships/hyperlink" Target="./%7B&#1050;&#1086;&#1085;&#1089;&#1091;&#1083;&#1100;&#1090;&#1072;&#1085;&#1090;&#1055;&#1083;&#1102;&#1089;%7D" TargetMode="External"/><Relationship Id="rId12" Type="http://schemas.openxmlformats.org/officeDocument/2006/relationships/hyperlink" Target="./%7B&#1050;&#1086;&#1085;&#1089;&#1091;&#1083;&#1100;&#1090;&#1072;&#1085;&#1090;&#1055;&#1083;&#1102;&#1089;%7D" TargetMode="External"/><Relationship Id="rId13" Type="http://schemas.openxmlformats.org/officeDocument/2006/relationships/hyperlink" Target="https://login.consultant.ru/link/?req=doc&amp;base=LAW&amp;n=445717&amp;date=07.05.2025" TargetMode="External"/><Relationship Id="rId14" Type="http://schemas.openxmlformats.org/officeDocument/2006/relationships/hyperlink" Target="./%7B&#1050;&#1086;&#1085;&#1089;&#1091;&#1083;&#1100;&#1090;&#1072;&#1085;&#1090;&#1055;&#1083;&#1102;&#1089;%7D" TargetMode="External"/><Relationship Id="rId15" Type="http://schemas.openxmlformats.org/officeDocument/2006/relationships/hyperlink" Target="./%7B&#1050;&#1086;&#1085;&#1089;&#1091;&#1083;&#1100;&#1090;&#1072;&#1085;&#1090;&#1055;&#1083;&#1102;&#1089;%7D" TargetMode="External"/><Relationship Id="rId16" Type="http://schemas.openxmlformats.org/officeDocument/2006/relationships/hyperlink" Target="./%7B&#1050;&#1086;&#1085;&#1089;&#1091;&#1083;&#1100;&#1090;&#1072;&#1085;&#1090;&#1055;&#1083;&#1102;&#1089;%7D" TargetMode="External"/><Relationship Id="rId17" Type="http://schemas.openxmlformats.org/officeDocument/2006/relationships/hyperlink" Target="./%7B&#1050;&#1086;&#1085;&#1089;&#1091;&#1083;&#1100;&#1090;&#1072;&#1085;&#1090;&#1055;&#1083;&#1102;&#1089;%7D" TargetMode="External"/><Relationship Id="rId18" Type="http://schemas.openxmlformats.org/officeDocument/2006/relationships/hyperlink" Target="./%7B&#1050;&#1086;&#1085;&#1089;&#1091;&#1083;&#1100;&#1090;&#1072;&#1085;&#1090;&#1055;&#1083;&#1102;&#1089;%7D" TargetMode="External"/><Relationship Id="rId19" Type="http://schemas.openxmlformats.org/officeDocument/2006/relationships/hyperlink" Target="./%7B&#1050;&#1086;&#1085;&#1089;&#1091;&#1083;&#1100;&#1090;&#1072;&#1085;&#1090;&#1055;&#1083;&#1102;&#1089;%7D" TargetMode="External"/><Relationship Id="rId20" Type="http://schemas.openxmlformats.org/officeDocument/2006/relationships/hyperlink" Target="./%7B&#1050;&#1086;&#1085;&#1089;&#1091;&#1083;&#1100;&#1090;&#1072;&#1085;&#1090;&#1055;&#1083;&#1102;&#1089;%7D" TargetMode="External"/><Relationship Id="rId21" Type="http://schemas.openxmlformats.org/officeDocument/2006/relationships/header" Target="header1.xml"/><Relationship Id="rId22" Type="http://schemas.openxmlformats.org/officeDocument/2006/relationships/header" Target="header2.xml"/><Relationship Id="rId23" Type="http://schemas.openxmlformats.org/officeDocument/2006/relationships/footer" Target="footer1.xml"/><Relationship Id="rId24" Type="http://schemas.openxmlformats.org/officeDocument/2006/relationships/footer" Target="footer2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LibreOffice/7.6.7.2$Linux_X86_64 LibreOffice_project/60$Build-2</Application>
  <AppVersion>15.0000</AppVersion>
  <Pages>9</Pages>
  <Words>2304</Words>
  <Characters>17162</Characters>
  <CharactersWithSpaces>19345</CharactersWithSpaces>
  <Paragraphs>128</Paragraphs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2025-05-07T08:05:38Z</dcterms:created>
  <dc:creator/>
  <dc:description/>
  <dc:language>ru-RU</dc:language>
  <cp:lastModifiedBy/>
  <dcterms:modified xsi:type="dcterms:W3CDTF">2025-05-07T11:13:49Z</dcterms:modified>
  <cp:revision>3</cp:revision>
  <dc:subject/>
  <dc:title>Приказ Минтранса России от 18.10.2024 N 367
"Об утверждении Федеральных авиационных правил "Техническое обслуживание подлежащих обязательной сертификации беспилотных авиационных систем и (или) их элементов, гражданских воздушных судов, авиационных двигателей, воздушных винтов, за исключением легких, сверхлегких гражданских воздушных судов, не осуществляющих коммерческих воздушных перевозок и авиационных работ. Часть 145"
(вместе с "Порядком выдачи, приостановления и возобновления действия документа, подтвер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