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 xml:space="preserve">В </w:t>
      </w:r>
      <w:r>
        <w:rPr>
          <w:rFonts w:eastAsia="Times New Roman" w:cs="Times New Roman" w:ascii="Times New Roman" w:hAnsi="Times New Roman"/>
          <w:sz w:val="28"/>
          <w:szCs w:val="28"/>
          <w:lang w:eastAsia="ru-RU"/>
        </w:rPr>
        <w:t>соответствии с Приложением № 12 к постановлению Правительства Российской Федерации от 12 марта 2022 г. № 353 (в редакции постановления Правительства Российской Федерации от 23 декабря 2023 г. № 2269) в 2022-2024 годах:</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 эксплуатация гражданских воздушных судов иностранного производства допускается в том числе при наличии сертификатов летной годности, разрешений на бортовые радиостанции, удостоверений о годности гражданских воздушных судов по шуму на местности или эквивалентных им документов, выданных авиационными администрациями иностранных государств в отношении гражданских воздушных судов иностранного производства, эксплуатируемых российскими эксплуатантами в рамках соглашений, заключенных в соответствии со статьей 83bis Конвенции о международной гражданской авиации (г. Чикаго, 1944 год);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оформление сертификатов летной годности и оценка летной годности гражданских воздушных судов иностранного производства, внесенных в Государственный реестр гражданских воздушных судов Российской Федерации (далее - реестр) в период с 1 марта по 31 декабря 2022 г. и имеющих выданные авиационными администрациями иностранных государств сертификаты летной годности, включая сертификаты летной годности, срок действия которых истек (приостановлен, аннулирован) после 1 марта 2022 г., осуществляются без привлечения организаций, аккредитованных Федеральным агентством воздушного транспорта, и выдаваемых в установленном порядке ими заключений о соответствии гражданских воздушных судов требованиям к летной годности;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Федеральным Авиационным Агентством США - FAA,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Европейским агентством безопасности полетов - EASA,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Директоратом Гражданской Авиации Канады - TCCA,</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Национальным агентством гражданской авиации Бразилии  - ANAC,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Администрацией гражданской авиации Китайской Народной Республики  - CAAC,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Управлением гражданской авиации Великобритании - CAA GB,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Генеральным директоратом гражданской авиации Турции - DGCA Turkey,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Главным управлением гражданской авиации Объединенных Арабских Эмиратов - GCAA UAE,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Комиссией по регулированию гражданской авиации Иордании - CARC,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Управлением гражданской авиации Таиланда - CAAT,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Управлением гражданской авиации Израиля - CAA,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Министерством гражданской авиации Египта - ECAA,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Генеральным управлением гражданской авиации Индии - DGCA India,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Организацией гражданской авиации Ирана - CAO.IRI,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Агентством гражданской авиации Узбекистана - Uzbekistan CAA,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Федеральным агентством гражданской авиации Мексики - Mexican AFAC,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Бермудскими авиационными властями - BCAA,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Ирландским авиационным управлением - IAA,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Департаментом гражданской авиации Арубы - DCA,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включая дополнительные сертификаты типа (STC);</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е) установка компонентов иностранного производства, имеющих статус "Prototype", который указан в документах, указанных в подпункте "д" настоящего пункта, на воздушные суда российского производства допускается по решению разработчика данного воздушного судна;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е(7)) обязательная сертификация авиационной техники, указанной в подпункте 2 пункта 1 статьи 8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правилами, изданными в соответствии со статьями 8 и 37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е(8)) при проведении обязательной сертификации авиационной техники, указанной в подпункте 2 пункта 1 статьи 8 Воздушного кодекса Российской Федерации, допускается утверждение подведомственной организацией состава рабочих групп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статьей 8.2 Воздушного кодекса Российской Федерации, в указанной сертификации;</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правилами, утвержденными в соответствии со статьями 8 и 37 Воздушного кодекса Российской Федерации;</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е(11)) разработка и сертификация изменений типовой конструкции гражданских воздушных судов, авиационных двигателей и воздушных винтов иностранной разработки допускается без предусмотренного федеральными авиационными правилами, утвержденными в соответствии со статьями 8 и 37 Воздушного кодекса Российской Федерации, уведомления держателей сертификатов типа гражданских воздушных судов, авиационных двигателей и воздушных винтов иностранной разработки;</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пунктом 3 статьи 8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 подтверждение соответствия юридических лиц, индивидуальных предпринимателей, претендующих на получение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пунктом 3 статьи 8 Воздушного кодекса Российской Федерации, допускается на основании сертификатов (одобрений), выданных ранее в соответствии с требованиями EASA (EASA Part-145) и BCAA (OTAR Part-145), в том числе аннулированных или приостановленных после 1 марта 2022 г., без проведения Федеральным агентством воздушного транспорта выездной проверки в отношении таких юридических лиц, индивидуальных предпринимателей и с последующим внесением в приложение к выдаваемым им сертификатам разрешенных видов работ, содержащихся в сертификатах (одобрениях), выданных в соответствии с требованиями EASA (EASA Part-145) и BCAA (OTAR Part-145); </w:t>
      </w:r>
    </w:p>
    <w:p>
      <w:pPr>
        <w:pStyle w:val="Normal"/>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 </w:t>
      </w:r>
    </w:p>
    <w:p>
      <w:pPr>
        <w:pStyle w:val="Normal"/>
        <w:spacing w:lineRule="auto" w:line="240" w:before="0" w:after="0"/>
        <w:jc w:val="both"/>
        <w:rPr>
          <w:rFonts w:ascii="Times New Roman" w:hAnsi="Times New Roman" w:eastAsia="Times New Roman" w:cs="Times New Roman"/>
          <w:sz w:val="28"/>
          <w:szCs w:val="28"/>
          <w:lang w:eastAsia="ru-RU"/>
        </w:rPr>
      </w:pPr>
      <w:r>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Сроки проведения калибровок и поверок инструментов и оборудования иностранного производства, указанных в эксплуатационной документации гражданских воздушных судов, за исключением инструментов и оборудования, содержащихся в Государственном реестре средств измерений, установленные изготовителями таких инструментов и оборудования иностранного производства, переносятся на период после 31 декабря 2023 г.</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правилами, утвержденными в соответствии со статьей 8 Воздушного кодекса Российской Федерации и устанавливающими требования к таким организациям, переносятся на период после 31 декабря</w:t>
        <w:br/>
        <w:t>2023 г.</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Срок оформления Федеральным агентством воздушного транспорта сертификатов летной годности гражданских воздушных судов иностранного производства, внесенных в реестр в период с 1 марта по 31 декабря 2022 г., не может превышать 5 рабочих дней со дня подачи заявки.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31 декабря 2024 года:</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правилами, утвержденными в соответствии со статьями 8 и 37 Воздушного кодекса Российской Федерации, не может превышать 30 календарных дней со дня подачи заявки; </w:t>
      </w:r>
    </w:p>
    <w:p>
      <w:pPr>
        <w:pStyle w:val="Normal"/>
        <w:spacing w:lineRule="auto" w:line="240" w:before="0" w:after="0"/>
        <w:ind w:firstLine="540"/>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8"/>
          <w:lang w:eastAsia="ru-RU"/>
        </w:rPr>
        <w:t>срок выдачи Федеральным агентством воздушного транспорта документа, подтверждающего соответствие юридических лиц и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в соответствии с пунктом 3 статьи 8 Воздушного кодекса Российской Федерации, в отношении юридических лиц и индивидуальных предпринимателей, находящихся за пределами</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8"/>
          <w:szCs w:val="24"/>
          <w:lang w:eastAsia="ru-RU"/>
        </w:rPr>
        <w:t>Российской Федерации, не может превышать 10 рабочих дней со дня подачи заявки.</w:t>
      </w:r>
    </w:p>
    <w:sectPr>
      <w:headerReference w:type="default" r:id="rId2"/>
      <w:type w:val="nextPage"/>
      <w:pgSz w:w="11906" w:h="16838"/>
      <w:pgMar w:left="1276" w:right="850" w:gutter="0" w:header="708"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Open Sans">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5328136"/>
    </w:sdtPr>
    <w:sdtContent>
      <w:p>
        <w:pPr>
          <w:pStyle w:val="Header"/>
          <w:jc w:val="center"/>
          <w:rPr/>
        </w:pPr>
        <w:r>
          <w:rPr/>
        </w:r>
      </w:p>
    </w:sdtContent>
  </w:sdt>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75d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8e2b5e"/>
    <w:rPr/>
  </w:style>
  <w:style w:type="character" w:styleId="Style15" w:customStyle="1">
    <w:name w:val="Нижний колонтитул Знак"/>
    <w:basedOn w:val="DefaultParagraphFont"/>
    <w:uiPriority w:val="99"/>
    <w:semiHidden/>
    <w:qFormat/>
    <w:rsid w:val="008e2b5e"/>
    <w:rPr/>
  </w:style>
  <w:style w:type="paragraph" w:styleId="Style16">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af0e6d"/>
    <w:pPr>
      <w:spacing w:lineRule="auto" w:line="240" w:beforeAutospacing="1" w:afterAutospacing="1"/>
    </w:pPr>
    <w:rPr>
      <w:rFonts w:ascii="Times New Roman" w:hAnsi="Times New Roman" w:eastAsia="Times New Roman" w:cs="Times New Roman"/>
      <w:sz w:val="24"/>
      <w:szCs w:val="24"/>
      <w:lang w:eastAsia="ru-RU"/>
    </w:rPr>
  </w:style>
  <w:style w:type="paragraph" w:styleId="Style18">
    <w:name w:val="Колонтитул"/>
    <w:basedOn w:val="Normal"/>
    <w:qFormat/>
    <w:pPr/>
    <w:rPr/>
  </w:style>
  <w:style w:type="paragraph" w:styleId="Header">
    <w:name w:val="Header"/>
    <w:basedOn w:val="Normal"/>
    <w:link w:val="Style14"/>
    <w:uiPriority w:val="99"/>
    <w:unhideWhenUsed/>
    <w:rsid w:val="008e2b5e"/>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semiHidden/>
    <w:unhideWhenUsed/>
    <w:rsid w:val="008e2b5e"/>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1505C-52B8-44A3-9D5A-F364819D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LibreOffice/7.6.0.2$Linux_X86_64 LibreOffice_project/60$Build-2</Application>
  <AppVersion>15.0000</AppVersion>
  <Pages>5</Pages>
  <Words>1326</Words>
  <Characters>9781</Characters>
  <CharactersWithSpaces>11098</CharactersWithSpaces>
  <Paragraphs>41</Paragraphs>
  <Compan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2023-01-11T07:54:00Z</dcterms:created>
  <dc:creator>Arsenjev_IV</dc:creator>
  <dc:description/>
  <dc:language>ru-RU</dc:language>
  <cp:lastModifiedBy/>
  <dcterms:modified xsi:type="dcterms:W3CDTF">2024-01-09T17:26:51Z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